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68" w:rsidRPr="00E345FB" w:rsidRDefault="00503158" w:rsidP="00E345FB">
      <w:pPr>
        <w:pStyle w:val="Heading4"/>
        <w:suppressAutoHyphens/>
        <w:rPr>
          <w:bCs w:val="0"/>
          <w:sz w:val="28"/>
          <w:szCs w:val="28"/>
          <w:lang w:val="en-GB"/>
        </w:rPr>
      </w:pPr>
      <w:r w:rsidRPr="00E345FB">
        <w:rPr>
          <w:bCs w:val="0"/>
          <w:sz w:val="28"/>
          <w:szCs w:val="28"/>
          <w:lang w:val="en-GB"/>
        </w:rPr>
        <w:t xml:space="preserve">Evaluating </w:t>
      </w:r>
      <w:r w:rsidR="00602D99" w:rsidRPr="00E345FB">
        <w:rPr>
          <w:bCs w:val="0"/>
          <w:sz w:val="28"/>
          <w:szCs w:val="28"/>
          <w:lang w:val="en-GB"/>
        </w:rPr>
        <w:t xml:space="preserve">The Academic Trends On Design Thinking Research: </w:t>
      </w:r>
      <w:r w:rsidRPr="00E345FB">
        <w:rPr>
          <w:bCs w:val="0"/>
          <w:sz w:val="28"/>
          <w:szCs w:val="28"/>
          <w:lang w:val="en-GB"/>
        </w:rPr>
        <w:t xml:space="preserve">A </w:t>
      </w:r>
      <w:r w:rsidR="00602D99" w:rsidRPr="00E345FB">
        <w:rPr>
          <w:bCs w:val="0"/>
          <w:sz w:val="28"/>
          <w:szCs w:val="28"/>
          <w:lang w:val="en-GB"/>
        </w:rPr>
        <w:t xml:space="preserve">Bibliometric Analysis From 2000 </w:t>
      </w:r>
      <w:r w:rsidR="005F40F7" w:rsidRPr="00E345FB">
        <w:rPr>
          <w:bCs w:val="0"/>
          <w:sz w:val="28"/>
          <w:szCs w:val="28"/>
          <w:lang w:val="en-GB"/>
        </w:rPr>
        <w:t>t</w:t>
      </w:r>
      <w:r w:rsidR="00602D99" w:rsidRPr="00E345FB">
        <w:rPr>
          <w:bCs w:val="0"/>
          <w:sz w:val="28"/>
          <w:szCs w:val="28"/>
          <w:lang w:val="en-GB"/>
        </w:rPr>
        <w:t>o 2021</w:t>
      </w:r>
    </w:p>
    <w:p w:rsidR="00AD7D68" w:rsidRPr="00E345FB" w:rsidRDefault="00AD7D68" w:rsidP="00E345FB">
      <w:pPr>
        <w:pStyle w:val="Heading4"/>
        <w:suppressAutoHyphens/>
        <w:rPr>
          <w:lang w:val="en-GB"/>
        </w:rPr>
      </w:pPr>
    </w:p>
    <w:p w:rsidR="00AD7D68" w:rsidRPr="00E345FB" w:rsidRDefault="001E35AF" w:rsidP="00E345FB">
      <w:pPr>
        <w:pStyle w:val="Heading4"/>
        <w:suppressAutoHyphens/>
        <w:rPr>
          <w:bCs w:val="0"/>
          <w:lang w:val="en-GB"/>
        </w:rPr>
      </w:pPr>
      <w:r w:rsidRPr="00E345FB">
        <w:rPr>
          <w:bCs w:val="0"/>
          <w:lang w:val="en-GB"/>
        </w:rPr>
        <w:t>Norliyana Md. Aris</w:t>
      </w:r>
      <w:r w:rsidR="00AD7D68" w:rsidRPr="00E345FB">
        <w:rPr>
          <w:bCs w:val="0"/>
          <w:vertAlign w:val="superscript"/>
          <w:lang w:val="en-GB"/>
        </w:rPr>
        <w:t>1</w:t>
      </w:r>
      <w:r w:rsidR="00AD7D68" w:rsidRPr="00E345FB">
        <w:rPr>
          <w:bCs w:val="0"/>
          <w:lang w:val="en-GB"/>
        </w:rPr>
        <w:t xml:space="preserve">*, </w:t>
      </w:r>
      <w:r w:rsidRPr="00E345FB">
        <w:rPr>
          <w:bCs w:val="0"/>
          <w:lang w:val="en-GB"/>
        </w:rPr>
        <w:t>Nor Hasniza Ibrahim</w:t>
      </w:r>
      <w:r w:rsidR="00AD7D68" w:rsidRPr="00E345FB">
        <w:rPr>
          <w:bCs w:val="0"/>
          <w:vertAlign w:val="superscript"/>
          <w:lang w:val="en-GB"/>
        </w:rPr>
        <w:t>2</w:t>
      </w:r>
      <w:r w:rsidR="00AD7D68" w:rsidRPr="00E345FB">
        <w:rPr>
          <w:bCs w:val="0"/>
          <w:lang w:val="en-GB"/>
        </w:rPr>
        <w:t xml:space="preserve">, </w:t>
      </w:r>
      <w:r w:rsidRPr="00E345FB">
        <w:rPr>
          <w:bCs w:val="0"/>
          <w:lang w:val="en-GB"/>
        </w:rPr>
        <w:t>Noor Dayana Abd Halim</w:t>
      </w:r>
      <w:r w:rsidRPr="00E345FB">
        <w:rPr>
          <w:bCs w:val="0"/>
          <w:vertAlign w:val="superscript"/>
          <w:lang w:val="en-GB"/>
        </w:rPr>
        <w:t>3</w:t>
      </w:r>
      <w:r w:rsidRPr="00E345FB">
        <w:rPr>
          <w:bCs w:val="0"/>
          <w:lang w:val="en-GB"/>
        </w:rPr>
        <w:t>, Sariah Ali</w:t>
      </w:r>
      <w:r w:rsidRPr="00E345FB">
        <w:rPr>
          <w:bCs w:val="0"/>
          <w:vertAlign w:val="superscript"/>
          <w:lang w:val="en-GB"/>
        </w:rPr>
        <w:t xml:space="preserve">4 </w:t>
      </w:r>
      <w:r w:rsidRPr="00E345FB">
        <w:rPr>
          <w:bCs w:val="0"/>
          <w:lang w:val="en-GB"/>
        </w:rPr>
        <w:t>, Nurul Hanani Rusli</w:t>
      </w:r>
      <w:r w:rsidRPr="00E345FB">
        <w:rPr>
          <w:bCs w:val="0"/>
          <w:vertAlign w:val="superscript"/>
          <w:lang w:val="en-GB"/>
        </w:rPr>
        <w:t>5</w:t>
      </w:r>
      <w:r w:rsidRPr="00E345FB">
        <w:rPr>
          <w:bCs w:val="0"/>
          <w:lang w:val="en-GB"/>
        </w:rPr>
        <w:t>,</w:t>
      </w:r>
      <w:r w:rsidR="000C752A" w:rsidRPr="00E345FB">
        <w:rPr>
          <w:bCs w:val="0"/>
          <w:lang w:val="en-GB"/>
        </w:rPr>
        <w:t xml:space="preserve">Maizatul Nabila </w:t>
      </w:r>
      <w:r w:rsidR="00096516" w:rsidRPr="00E345FB">
        <w:rPr>
          <w:bCs w:val="0"/>
          <w:lang w:val="en-GB"/>
        </w:rPr>
        <w:t xml:space="preserve">Mohd </w:t>
      </w:r>
      <w:bookmarkStart w:id="0" w:name="_GoBack"/>
      <w:bookmarkEnd w:id="0"/>
      <w:r w:rsidR="000C752A" w:rsidRPr="00E345FB">
        <w:rPr>
          <w:bCs w:val="0"/>
          <w:lang w:val="en-GB"/>
        </w:rPr>
        <w:t>Suratin</w:t>
      </w:r>
      <w:r w:rsidR="000C752A" w:rsidRPr="00E345FB">
        <w:rPr>
          <w:bCs w:val="0"/>
          <w:vertAlign w:val="superscript"/>
          <w:lang w:val="en-GB"/>
        </w:rPr>
        <w:t>6</w:t>
      </w:r>
      <w:r w:rsidR="000C752A" w:rsidRPr="00E345FB">
        <w:rPr>
          <w:bCs w:val="0"/>
          <w:lang w:val="en-GB"/>
        </w:rPr>
        <w:t>, Firdaus Che Hassan</w:t>
      </w:r>
      <w:r w:rsidR="000C752A" w:rsidRPr="00E345FB">
        <w:rPr>
          <w:bCs w:val="0"/>
          <w:vertAlign w:val="superscript"/>
          <w:lang w:val="en-GB"/>
        </w:rPr>
        <w:t>7</w:t>
      </w:r>
      <w:r w:rsidR="005F6A1E" w:rsidRPr="00E345FB">
        <w:rPr>
          <w:bCs w:val="0"/>
          <w:vertAlign w:val="superscript"/>
          <w:lang w:val="en-GB"/>
        </w:rPr>
        <w:t>,8</w:t>
      </w:r>
    </w:p>
    <w:p w:rsidR="00AD7D68" w:rsidRPr="00E345FB" w:rsidRDefault="00AD7D68" w:rsidP="00E345FB">
      <w:pPr>
        <w:pStyle w:val="Heading4"/>
        <w:suppressAutoHyphens/>
        <w:rPr>
          <w:lang w:val="en-GB"/>
        </w:rPr>
      </w:pPr>
    </w:p>
    <w:p w:rsidR="005F6A1E" w:rsidRPr="00015ABF" w:rsidRDefault="00AD7D68" w:rsidP="00015ABF">
      <w:pPr>
        <w:pStyle w:val="Heading4"/>
        <w:suppressAutoHyphens/>
        <w:rPr>
          <w:b w:val="0"/>
          <w:i/>
          <w:iCs/>
          <w:lang w:val="en-GB"/>
        </w:rPr>
      </w:pPr>
      <w:r w:rsidRPr="00E345FB">
        <w:rPr>
          <w:b w:val="0"/>
          <w:i/>
          <w:iCs/>
          <w:vertAlign w:val="superscript"/>
          <w:lang w:val="en-GB"/>
        </w:rPr>
        <w:t>1</w:t>
      </w:r>
      <w:r w:rsidR="000C752A" w:rsidRPr="00E345FB">
        <w:rPr>
          <w:b w:val="0"/>
          <w:i/>
          <w:iCs/>
          <w:vertAlign w:val="superscript"/>
          <w:lang w:val="en-GB"/>
        </w:rPr>
        <w:t>23456</w:t>
      </w:r>
      <w:r w:rsidR="00BC19C9" w:rsidRPr="00E345FB">
        <w:rPr>
          <w:b w:val="0"/>
          <w:i/>
          <w:iCs/>
          <w:lang w:val="en-GB"/>
        </w:rPr>
        <w:t xml:space="preserve">Faculty of </w:t>
      </w:r>
      <w:r w:rsidR="00413E2B" w:rsidRPr="00E345FB">
        <w:rPr>
          <w:b w:val="0"/>
          <w:i/>
          <w:iCs/>
          <w:lang w:val="en-GB"/>
        </w:rPr>
        <w:t>Social</w:t>
      </w:r>
      <w:r w:rsidR="00BC19C9" w:rsidRPr="00E345FB">
        <w:rPr>
          <w:b w:val="0"/>
          <w:i/>
          <w:iCs/>
          <w:lang w:val="en-GB"/>
        </w:rPr>
        <w:t xml:space="preserve"> Science and Humanities, Universiti Teknologi Malaysia 81310 Skudai, Johor</w:t>
      </w:r>
      <w:r w:rsidR="003C3B64" w:rsidRPr="00E345FB">
        <w:rPr>
          <w:b w:val="0"/>
          <w:i/>
          <w:iCs/>
          <w:lang w:val="en-GB"/>
        </w:rPr>
        <w:t xml:space="preserve"> Malaysia</w:t>
      </w:r>
    </w:p>
    <w:p w:rsidR="005F6A1E" w:rsidRPr="00E345FB" w:rsidRDefault="005F6A1E" w:rsidP="00E345FB">
      <w:pPr>
        <w:pStyle w:val="Heading4"/>
        <w:suppressAutoHyphens/>
        <w:rPr>
          <w:b w:val="0"/>
          <w:i/>
          <w:iCs/>
          <w:lang w:val="en-GB"/>
        </w:rPr>
      </w:pPr>
      <w:r w:rsidRPr="00E345FB">
        <w:rPr>
          <w:b w:val="0"/>
          <w:i/>
          <w:iCs/>
          <w:vertAlign w:val="superscript"/>
          <w:lang w:val="en-GB"/>
        </w:rPr>
        <w:t>7</w:t>
      </w:r>
      <w:r w:rsidRPr="00E345FB">
        <w:rPr>
          <w:b w:val="0"/>
          <w:i/>
          <w:iCs/>
          <w:lang w:val="en-GB"/>
        </w:rPr>
        <w:t>Functional Composite Structure (FCS) Focus Group</w:t>
      </w:r>
      <w:r w:rsidR="00E345FB">
        <w:rPr>
          <w:b w:val="0"/>
          <w:i/>
          <w:iCs/>
          <w:lang w:val="en-GB"/>
        </w:rPr>
        <w:t xml:space="preserve">, </w:t>
      </w:r>
      <w:r w:rsidRPr="00E345FB">
        <w:rPr>
          <w:b w:val="0"/>
          <w:i/>
          <w:iCs/>
          <w:lang w:val="en-GB"/>
        </w:rPr>
        <w:t>Department of Materials and Design Engineering</w:t>
      </w:r>
      <w:r w:rsidR="00E345FB">
        <w:rPr>
          <w:b w:val="0"/>
          <w:i/>
          <w:iCs/>
          <w:lang w:val="en-GB"/>
        </w:rPr>
        <w:t xml:space="preserve">, </w:t>
      </w:r>
      <w:r w:rsidRPr="00E345FB">
        <w:rPr>
          <w:b w:val="0"/>
          <w:i/>
          <w:iCs/>
          <w:lang w:val="en-GB"/>
        </w:rPr>
        <w:t>Faculty of Mechanical and Manufacturing Engineering</w:t>
      </w:r>
    </w:p>
    <w:p w:rsidR="005F6A1E" w:rsidRPr="00E345FB" w:rsidRDefault="005F6A1E" w:rsidP="00E345FB">
      <w:pPr>
        <w:pStyle w:val="Heading4"/>
        <w:suppressAutoHyphens/>
        <w:rPr>
          <w:b w:val="0"/>
          <w:i/>
          <w:iCs/>
          <w:lang w:val="en-GB"/>
        </w:rPr>
      </w:pPr>
      <w:r w:rsidRPr="00E345FB">
        <w:rPr>
          <w:b w:val="0"/>
          <w:i/>
          <w:iCs/>
          <w:lang w:val="en-GB"/>
        </w:rPr>
        <w:t>Universiti Tun Hussein Onn Malaysia 86400 Parit Raja, Batu Pahat, Johor, Malaysia</w:t>
      </w:r>
    </w:p>
    <w:p w:rsidR="005F6A1E" w:rsidRPr="00E345FB" w:rsidRDefault="005F6A1E" w:rsidP="00E345FB">
      <w:pPr>
        <w:pStyle w:val="Heading4"/>
        <w:suppressAutoHyphens/>
        <w:rPr>
          <w:b w:val="0"/>
          <w:i/>
          <w:iCs/>
          <w:lang w:val="en-GB"/>
        </w:rPr>
      </w:pPr>
      <w:r w:rsidRPr="00E345FB">
        <w:rPr>
          <w:b w:val="0"/>
          <w:i/>
          <w:iCs/>
          <w:vertAlign w:val="superscript"/>
          <w:lang w:val="en-GB"/>
        </w:rPr>
        <w:t>8</w:t>
      </w:r>
      <w:r w:rsidRPr="00E345FB">
        <w:rPr>
          <w:b w:val="0"/>
          <w:i/>
          <w:iCs/>
          <w:lang w:val="en-GB"/>
        </w:rPr>
        <w:t xml:space="preserve"> Creative Research and Innovation for Technology (CREATE) Focus Group</w:t>
      </w:r>
      <w:r w:rsidR="00E345FB">
        <w:rPr>
          <w:b w:val="0"/>
          <w:i/>
          <w:iCs/>
          <w:lang w:val="en-GB"/>
        </w:rPr>
        <w:t xml:space="preserve">, </w:t>
      </w:r>
      <w:r w:rsidRPr="00E345FB">
        <w:rPr>
          <w:b w:val="0"/>
          <w:i/>
          <w:iCs/>
          <w:lang w:val="en-GB"/>
        </w:rPr>
        <w:t>Department of Production and Operation Management</w:t>
      </w:r>
      <w:r w:rsidR="00E345FB">
        <w:rPr>
          <w:b w:val="0"/>
          <w:i/>
          <w:iCs/>
          <w:lang w:val="en-GB"/>
        </w:rPr>
        <w:t xml:space="preserve">, </w:t>
      </w:r>
      <w:r w:rsidRPr="00E345FB">
        <w:rPr>
          <w:b w:val="0"/>
          <w:i/>
          <w:iCs/>
          <w:lang w:val="en-GB"/>
        </w:rPr>
        <w:t>Faculty of Technology Management and Business</w:t>
      </w:r>
    </w:p>
    <w:p w:rsidR="00CD3A3F" w:rsidRPr="00E345FB" w:rsidRDefault="005F6A1E" w:rsidP="00E345FB">
      <w:pPr>
        <w:pStyle w:val="Heading4"/>
        <w:suppressAutoHyphens/>
        <w:rPr>
          <w:b w:val="0"/>
          <w:i/>
          <w:iCs/>
          <w:lang w:val="en-GB"/>
        </w:rPr>
      </w:pPr>
      <w:r w:rsidRPr="00E345FB">
        <w:rPr>
          <w:b w:val="0"/>
          <w:i/>
          <w:iCs/>
          <w:lang w:val="en-GB"/>
        </w:rPr>
        <w:t>Universiti Tun Hussein Onn Malaysia 86400 Parit Raja, Batu Pahat, Johor, Malaysia</w:t>
      </w:r>
    </w:p>
    <w:p w:rsidR="00AD7D68" w:rsidRPr="00E345FB" w:rsidRDefault="00AD7D68" w:rsidP="00E345FB">
      <w:pPr>
        <w:pStyle w:val="Heading4"/>
        <w:suppressAutoHyphens/>
        <w:rPr>
          <w:b w:val="0"/>
          <w:i/>
          <w:iCs/>
          <w:lang w:val="en-GB"/>
        </w:rPr>
      </w:pPr>
      <w:r w:rsidRPr="00E345FB">
        <w:rPr>
          <w:b w:val="0"/>
          <w:i/>
          <w:iCs/>
          <w:lang w:val="en-GB"/>
        </w:rPr>
        <w:t xml:space="preserve">*Corresponding author E-mail: </w:t>
      </w:r>
      <w:r w:rsidR="003C3B64" w:rsidRPr="00E345FB">
        <w:rPr>
          <w:b w:val="0"/>
          <w:i/>
          <w:iCs/>
          <w:lang w:val="en-GB"/>
        </w:rPr>
        <w:t>norliyana@graduate.utm.my</w:t>
      </w:r>
    </w:p>
    <w:p w:rsidR="00AD7D68" w:rsidRPr="00E345FB" w:rsidRDefault="00AD7D68" w:rsidP="00E345FB">
      <w:pPr>
        <w:pStyle w:val="SAP-Level1HeadingSingleline"/>
        <w:keepNext/>
        <w:suppressAutoHyphens/>
        <w:spacing w:before="0" w:after="0" w:line="240" w:lineRule="auto"/>
        <w:rPr>
          <w:rFonts w:eastAsia="SimSun"/>
          <w:sz w:val="22"/>
          <w:szCs w:val="22"/>
          <w:lang w:val="en-GB"/>
        </w:rPr>
      </w:pPr>
    </w:p>
    <w:p w:rsidR="005A7D0A" w:rsidRPr="00E345FB" w:rsidRDefault="005A7D0A" w:rsidP="00E345FB">
      <w:pPr>
        <w:pStyle w:val="SAP-Level1HeadingSingleline"/>
        <w:keepNext/>
        <w:suppressAutoHyphens/>
        <w:spacing w:before="0" w:after="0" w:line="240" w:lineRule="auto"/>
        <w:rPr>
          <w:rFonts w:eastAsia="SimSun"/>
          <w:sz w:val="22"/>
          <w:szCs w:val="22"/>
          <w:lang w:val="en-GB"/>
        </w:rPr>
      </w:pPr>
    </w:p>
    <w:p w:rsidR="00AD7D68" w:rsidRPr="00E345FB" w:rsidRDefault="00AD7D68" w:rsidP="00E345FB">
      <w:pPr>
        <w:pStyle w:val="SAP-Level1HeadingSingleline"/>
        <w:keepNext/>
        <w:suppressAutoHyphens/>
        <w:spacing w:before="0" w:after="0" w:line="240" w:lineRule="auto"/>
        <w:ind w:left="720" w:right="720"/>
        <w:jc w:val="center"/>
        <w:rPr>
          <w:rFonts w:ascii="Gill Sans MT" w:eastAsia="SimSun" w:hAnsi="Gill Sans MT"/>
          <w:sz w:val="22"/>
          <w:szCs w:val="22"/>
          <w:lang w:val="en-GB"/>
        </w:rPr>
      </w:pPr>
      <w:r w:rsidRPr="00E345FB">
        <w:rPr>
          <w:rFonts w:ascii="Gill Sans MT" w:eastAsia="SimSun" w:hAnsi="Gill Sans MT"/>
          <w:sz w:val="22"/>
          <w:szCs w:val="22"/>
          <w:lang w:val="en-GB"/>
        </w:rPr>
        <w:t>Abstract</w:t>
      </w:r>
    </w:p>
    <w:p w:rsidR="00737AE1" w:rsidRPr="00E345FB" w:rsidRDefault="00120F81" w:rsidP="00E345FB">
      <w:pPr>
        <w:suppressAutoHyphens/>
        <w:autoSpaceDE w:val="0"/>
        <w:autoSpaceDN w:val="0"/>
        <w:adjustRightInd w:val="0"/>
        <w:ind w:left="720" w:right="720"/>
        <w:jc w:val="both"/>
        <w:rPr>
          <w:rFonts w:ascii="Gill Sans MT" w:hAnsi="Gill Sans MT"/>
          <w:sz w:val="22"/>
          <w:szCs w:val="22"/>
          <w:lang w:val="en-GB" w:eastAsia="en-US"/>
        </w:rPr>
      </w:pPr>
      <w:r w:rsidRPr="00E345FB">
        <w:rPr>
          <w:rFonts w:ascii="Gill Sans MT" w:hAnsi="Gill Sans MT"/>
          <w:sz w:val="22"/>
          <w:szCs w:val="22"/>
          <w:lang w:val="en-GB" w:eastAsia="en-US"/>
        </w:rPr>
        <w:t>"Design Thinking" opens up new avenues for boosting current educational, creative thinking instructional, and innovation research paradigms. Design thinking approaches are widely being explored in various fields to meet the inspiration of the global era. It is now recognized as the learning experience through repeating activities in a problem-solving learning environment</w:t>
      </w:r>
      <w:r w:rsidR="00737AE1" w:rsidRPr="00E345FB">
        <w:rPr>
          <w:rFonts w:ascii="Gill Sans MT" w:hAnsi="Gill Sans MT"/>
          <w:sz w:val="22"/>
          <w:szCs w:val="22"/>
          <w:lang w:val="en-GB" w:eastAsia="en-US"/>
        </w:rPr>
        <w:t xml:space="preserve">. With the growth of design thinking, much research has been conducted. The focus of this research is to look at the current state of design thinking research and make future research directions. This study also aims </w:t>
      </w:r>
      <w:bookmarkStart w:id="1" w:name="_Hlk99404755"/>
      <w:r w:rsidR="00737AE1" w:rsidRPr="00E345FB">
        <w:rPr>
          <w:rFonts w:ascii="Gill Sans MT" w:hAnsi="Gill Sans MT"/>
          <w:sz w:val="22"/>
          <w:szCs w:val="22"/>
          <w:lang w:val="en-GB" w:eastAsia="en-US"/>
        </w:rPr>
        <w:t xml:space="preserve">to provide up-to-date maps illustrating and organizing Scopus data sets relevant to design thinking research </w:t>
      </w:r>
      <w:r w:rsidR="00F00E34" w:rsidRPr="00E345FB">
        <w:rPr>
          <w:rFonts w:ascii="Gill Sans MT" w:hAnsi="Gill Sans MT"/>
          <w:sz w:val="22"/>
          <w:szCs w:val="22"/>
          <w:lang w:val="en-GB" w:eastAsia="en-US"/>
        </w:rPr>
        <w:t>between</w:t>
      </w:r>
      <w:r w:rsidR="00737AE1" w:rsidRPr="00E345FB">
        <w:rPr>
          <w:rFonts w:ascii="Gill Sans MT" w:hAnsi="Gill Sans MT"/>
          <w:sz w:val="22"/>
          <w:szCs w:val="22"/>
          <w:lang w:val="en-GB" w:eastAsia="en-US"/>
        </w:rPr>
        <w:t xml:space="preserve"> 2000 and 2021</w:t>
      </w:r>
      <w:bookmarkEnd w:id="1"/>
      <w:r w:rsidR="00737AE1" w:rsidRPr="00E345FB">
        <w:rPr>
          <w:rFonts w:ascii="Gill Sans MT" w:hAnsi="Gill Sans MT"/>
          <w:sz w:val="22"/>
          <w:szCs w:val="22"/>
          <w:lang w:val="en-GB" w:eastAsia="en-US"/>
        </w:rPr>
        <w:t>. The study retrieved 1875 documents for further analysis using various tools.  Microsoft Excel, Harzing Perish, and VOSviewer were used to complete the bibliometric review using standard bibliometric indicators. Visualization through maps based on-network data of scientific publications displaying relationships among researchers, countries, and scientific journals. The co-occurrence of phrases related to design thinking research was analyzed through author keywords. Based on what we have discovered</w:t>
      </w:r>
      <w:r w:rsidR="00836383" w:rsidRPr="00E345FB">
        <w:rPr>
          <w:rFonts w:ascii="Gill Sans MT" w:hAnsi="Gill Sans MT"/>
          <w:sz w:val="22"/>
          <w:szCs w:val="22"/>
          <w:lang w:val="en-GB" w:eastAsia="en-US"/>
        </w:rPr>
        <w:t>,d</w:t>
      </w:r>
      <w:r w:rsidR="00737AE1" w:rsidRPr="00E345FB">
        <w:rPr>
          <w:rFonts w:ascii="Gill Sans MT" w:hAnsi="Gill Sans MT"/>
          <w:sz w:val="22"/>
          <w:szCs w:val="22"/>
          <w:lang w:val="en-GB" w:eastAsia="en-US"/>
        </w:rPr>
        <w:t xml:space="preserve">esign thinking research is gaining popularity among scholars. The United States, followed by Germany, was the most significant contributor to design thinking research. Most articles connected to design thinking research have been published in computer science and social science. The top author keywords in terms of co-occurrence were "Design Thinking" "Innovation" "Design" and "Creativity" are all keywords used to express design thinking. The top-cited </w:t>
      </w:r>
      <w:r w:rsidR="004204EF" w:rsidRPr="00E345FB">
        <w:rPr>
          <w:rFonts w:ascii="Gill Sans MT" w:hAnsi="Gill Sans MT"/>
          <w:sz w:val="22"/>
          <w:szCs w:val="22"/>
          <w:lang w:val="en-GB" w:eastAsia="en-US"/>
        </w:rPr>
        <w:t>article</w:t>
      </w:r>
      <w:r w:rsidR="00737AE1" w:rsidRPr="00E345FB">
        <w:rPr>
          <w:rFonts w:ascii="Gill Sans MT" w:hAnsi="Gill Sans MT"/>
          <w:sz w:val="22"/>
          <w:szCs w:val="22"/>
          <w:lang w:val="en-GB" w:eastAsia="en-US"/>
        </w:rPr>
        <w:t xml:space="preserve"> from the Journal Of Engineering Education </w:t>
      </w:r>
      <w:r w:rsidR="004204EF" w:rsidRPr="00E345FB">
        <w:rPr>
          <w:rFonts w:ascii="Gill Sans MT" w:hAnsi="Gill Sans MT"/>
          <w:sz w:val="22"/>
          <w:szCs w:val="22"/>
          <w:lang w:val="en-GB" w:eastAsia="en-US"/>
        </w:rPr>
        <w:t xml:space="preserve">is </w:t>
      </w:r>
      <w:r w:rsidR="00737AE1" w:rsidRPr="00E345FB">
        <w:rPr>
          <w:rFonts w:ascii="Gill Sans MT" w:hAnsi="Gill Sans MT"/>
          <w:sz w:val="22"/>
          <w:szCs w:val="22"/>
          <w:lang w:val="en-GB" w:eastAsia="en-US"/>
        </w:rPr>
        <w:t>titled "Engineering design thinking, teaching, and learning"</w:t>
      </w:r>
      <w:r w:rsidR="0066647D" w:rsidRPr="00E345FB">
        <w:rPr>
          <w:rFonts w:ascii="Gill Sans MT" w:hAnsi="Gill Sans MT"/>
          <w:sz w:val="22"/>
          <w:szCs w:val="22"/>
          <w:lang w:val="en-GB" w:eastAsia="en-US"/>
        </w:rPr>
        <w:t>.</w:t>
      </w:r>
      <w:r w:rsidR="00737AE1" w:rsidRPr="00E345FB">
        <w:rPr>
          <w:rFonts w:ascii="Gill Sans MT" w:hAnsi="Gill Sans MT"/>
          <w:sz w:val="22"/>
          <w:szCs w:val="22"/>
          <w:lang w:val="en-GB" w:eastAsia="en-US"/>
        </w:rPr>
        <w:t xml:space="preserve"> Our findings will provide a clear grasp of design thinking research bodies' evolution trends. These current work analyses are valuable and essential resources for scholars and practitioners in design thinking academic researchers.</w:t>
      </w:r>
    </w:p>
    <w:p w:rsidR="00737AE1" w:rsidRPr="00E345FB" w:rsidRDefault="00737AE1" w:rsidP="00E345FB">
      <w:pPr>
        <w:suppressAutoHyphens/>
        <w:autoSpaceDE w:val="0"/>
        <w:autoSpaceDN w:val="0"/>
        <w:adjustRightInd w:val="0"/>
        <w:jc w:val="both"/>
        <w:rPr>
          <w:sz w:val="22"/>
          <w:szCs w:val="22"/>
          <w:lang w:val="en-GB" w:eastAsia="en-US"/>
        </w:rPr>
      </w:pPr>
    </w:p>
    <w:p w:rsidR="00AD7D68" w:rsidRPr="00E345FB" w:rsidRDefault="00AD7D68" w:rsidP="00E345FB">
      <w:pPr>
        <w:suppressAutoHyphens/>
        <w:autoSpaceDE w:val="0"/>
        <w:autoSpaceDN w:val="0"/>
        <w:adjustRightInd w:val="0"/>
        <w:jc w:val="both"/>
        <w:rPr>
          <w:rFonts w:eastAsia="SimSun"/>
          <w:b/>
          <w:sz w:val="22"/>
          <w:szCs w:val="22"/>
          <w:lang w:val="en-GB"/>
        </w:rPr>
      </w:pPr>
      <w:r w:rsidRPr="00E345FB">
        <w:rPr>
          <w:rFonts w:eastAsia="SimSun"/>
          <w:b/>
          <w:sz w:val="22"/>
          <w:szCs w:val="22"/>
          <w:lang w:val="en-GB"/>
        </w:rPr>
        <w:t>Keywords:</w:t>
      </w:r>
      <w:r w:rsidRPr="00E345FB">
        <w:rPr>
          <w:rFonts w:eastAsia="SimSun"/>
          <w:sz w:val="22"/>
          <w:szCs w:val="22"/>
          <w:lang w:val="en-GB"/>
        </w:rPr>
        <w:t xml:space="preserve"> </w:t>
      </w:r>
      <w:r w:rsidR="00122BE5" w:rsidRPr="00E345FB">
        <w:rPr>
          <w:rFonts w:eastAsia="SimSun"/>
          <w:sz w:val="22"/>
          <w:szCs w:val="22"/>
          <w:lang w:val="en-GB"/>
        </w:rPr>
        <w:t>Design thinking, Bibliometric analysis, Trend, VOSviewer; Harzing’s Publishor Perish</w:t>
      </w:r>
    </w:p>
    <w:p w:rsidR="00DD0EEC" w:rsidRPr="00E345FB" w:rsidRDefault="00DD0EEC" w:rsidP="00E345FB">
      <w:pPr>
        <w:pStyle w:val="SAP-Level1HeadingSingleline"/>
        <w:keepNext/>
        <w:suppressAutoHyphens/>
        <w:spacing w:before="0" w:after="0" w:line="240" w:lineRule="auto"/>
        <w:rPr>
          <w:rFonts w:eastAsia="SimSun"/>
          <w:b w:val="0"/>
          <w:sz w:val="22"/>
          <w:szCs w:val="22"/>
          <w:lang w:val="en-GB"/>
        </w:rPr>
      </w:pPr>
    </w:p>
    <w:p w:rsidR="00AD7D68" w:rsidRPr="00E345FB" w:rsidRDefault="00AD7D68" w:rsidP="00E345FB">
      <w:pPr>
        <w:pStyle w:val="SAP-Level1HeadingSingleline"/>
        <w:keepNext/>
        <w:suppressAutoHyphens/>
        <w:spacing w:before="0" w:after="0" w:line="240" w:lineRule="auto"/>
        <w:rPr>
          <w:rFonts w:eastAsia="SimSun"/>
          <w:b w:val="0"/>
          <w:sz w:val="22"/>
          <w:szCs w:val="22"/>
          <w:lang w:val="en-GB"/>
        </w:rPr>
        <w:sectPr w:rsidR="00AD7D68" w:rsidRPr="00E345FB" w:rsidSect="000479B9">
          <w:headerReference w:type="even" r:id="rId8"/>
          <w:headerReference w:type="default" r:id="rId9"/>
          <w:footerReference w:type="default" r:id="rId10"/>
          <w:headerReference w:type="first" r:id="rId11"/>
          <w:type w:val="continuous"/>
          <w:pgSz w:w="11907" w:h="16840" w:code="9"/>
          <w:pgMar w:top="1440" w:right="1440" w:bottom="1440" w:left="1440" w:header="709" w:footer="709" w:gutter="0"/>
          <w:cols w:space="708"/>
          <w:titlePg/>
          <w:docGrid w:linePitch="360"/>
        </w:sectPr>
      </w:pPr>
    </w:p>
    <w:p w:rsidR="00C10567" w:rsidRPr="00E345FB" w:rsidRDefault="00CD3A3F" w:rsidP="00E345FB">
      <w:pPr>
        <w:pStyle w:val="SAP-Level1HeadingSingleline"/>
        <w:keepNext/>
        <w:numPr>
          <w:ilvl w:val="0"/>
          <w:numId w:val="7"/>
        </w:numPr>
        <w:suppressAutoHyphens/>
        <w:spacing w:before="0" w:after="0" w:line="240" w:lineRule="auto"/>
        <w:ind w:left="288" w:hanging="288"/>
        <w:outlineLvl w:val="9"/>
        <w:rPr>
          <w:sz w:val="22"/>
          <w:szCs w:val="22"/>
          <w:lang w:val="en-GB"/>
        </w:rPr>
      </w:pPr>
      <w:r w:rsidRPr="00E345FB">
        <w:rPr>
          <w:sz w:val="22"/>
          <w:szCs w:val="22"/>
          <w:lang w:val="en-GB"/>
        </w:rPr>
        <w:lastRenderedPageBreak/>
        <w:t>INTRODUCTION</w:t>
      </w:r>
    </w:p>
    <w:p w:rsidR="009123F9" w:rsidRPr="00E345FB" w:rsidRDefault="00AA6EC1" w:rsidP="00E345FB">
      <w:pPr>
        <w:pStyle w:val="IJOPCMBody"/>
        <w:suppressAutoHyphens/>
        <w:spacing w:before="0" w:after="0"/>
        <w:rPr>
          <w:sz w:val="22"/>
          <w:szCs w:val="22"/>
          <w:lang w:val="en-GB" w:eastAsia="en-US"/>
        </w:rPr>
      </w:pPr>
      <w:r w:rsidRPr="00E345FB">
        <w:rPr>
          <w:sz w:val="22"/>
          <w:szCs w:val="22"/>
          <w:lang w:val="en-GB" w:eastAsia="en-US"/>
        </w:rPr>
        <w:t xml:space="preserve">Design thinking may appear to be a new concept </w:t>
      </w:r>
      <w:r w:rsidR="008524AD" w:rsidRPr="00E345FB">
        <w:rPr>
          <w:sz w:val="22"/>
          <w:szCs w:val="22"/>
          <w:lang w:val="en-GB" w:eastAsia="en-US"/>
        </w:rPr>
        <w:t>on</w:t>
      </w:r>
      <w:r w:rsidRPr="00E345FB">
        <w:rPr>
          <w:sz w:val="22"/>
          <w:szCs w:val="22"/>
          <w:lang w:val="en-GB" w:eastAsia="en-US"/>
        </w:rPr>
        <w:t xml:space="preserve"> this side of the century in the academic world. However, designers' work and practiceattributes have been discussed within design studiesfor at least </w:t>
      </w:r>
      <w:r w:rsidR="009412D4" w:rsidRPr="00E345FB">
        <w:rPr>
          <w:sz w:val="22"/>
          <w:szCs w:val="22"/>
          <w:lang w:val="en-GB" w:eastAsia="en-US"/>
        </w:rPr>
        <w:t>2</w:t>
      </w:r>
      <w:r w:rsidRPr="00E345FB">
        <w:rPr>
          <w:sz w:val="22"/>
          <w:szCs w:val="22"/>
          <w:lang w:val="en-GB" w:eastAsia="en-US"/>
        </w:rPr>
        <w:t>0 years</w:t>
      </w:r>
      <w:r w:rsidR="00064DD5" w:rsidRPr="00E345FB">
        <w:rPr>
          <w:sz w:val="22"/>
          <w:szCs w:val="22"/>
          <w:lang w:val="en-GB" w:eastAsia="en-US"/>
        </w:rPr>
        <w:fldChar w:fldCharType="begin" w:fldLock="1"/>
      </w:r>
      <w:r w:rsidR="00343CDA" w:rsidRPr="00E345FB">
        <w:rPr>
          <w:sz w:val="22"/>
          <w:szCs w:val="22"/>
          <w:lang w:val="en-GB" w:eastAsia="en-US"/>
        </w:rPr>
        <w:instrText>ADDIN CSL_CITATION {"citationItems":[{"id":"ITEM-1","itemData":{"DOI":"10.1111/caim.12023","ISSN":"09631690 (ISSN)","abstract":"This paper takes a critical look at the design thinking discourse, one that has different meanings depending on its context. Within the managerial realm, design thinking has been described as the best way to be creative and innovate, while within the design realm, design thinking may be partly ignored and taken for granted, despite a long history of academic development and debate. In the design area, we find five different discourses of 'designerly thinking', or ways to describe what designers do in practice, that have distinctly different epistemological roots. These different discourses do not stand in competition with each other but could be developed in parallel. We also observe that the management discourse has three distinct origins, but in general has a more superficial and popular character and is less academically anchored than the designerly one. Also, the management design thinking discourse seldom refers to designerly thinking and thereby hinders cumulative knowledge construction. We suggest further research to link the discourses. Â© 2013 John Wiley &amp; Sons Ltd.","author":[{"dropping-particle":"","family":"Johansson-SkÃ¶ldberg","given":"U","non-dropping-particle":"","parse-names":false,"suffix":""},{"dropping-particle":"","family":"Woodilla","given":"J","non-dropping-particle":"","parse-names":false,"suffix":""},{"dropping-particle":"","family":"Ã‡etinkaya","given":"M","non-dropping-particle":"","parse-names":false,"suffix":""}],"container-title":"Creativity and Innovation Management","id":"ITEM-1","issue":"2","issued":{"date-parts":[["2013"]]},"note":"Cited By (since 2013): 396","page":"121-146","publisher":"Life Science Publishing Co. Ltd","title":"Design thinking: Past, present and possible futures","type":"article-journal","volume":"22"},"uris":["http://www.mendeley.com/documents/?uuid=fddd463a-4e2b-4302-9fd6-331474685f7d"]},{"id":"ITEM-2","itemData":{"ISBN":"00119342 (ISSN)","abstract":"The University of Waterloo (UW) received the Mathworks Crossover to Model-Based Design Award at Challenge X, a three-year student engineering competition sponsored by General Motors Corporation and the US Department of Energy. The team intends to design and develop vehicle systems using the Mathworks Tool employed by the automotive engineers. The Mathwork's Simulink was used to simulate the DC/DC converter to establish estimated efficiency, obtain device voltage and current rating. Simulink was used for all fuel comparisons, technology comparisons and sizing optimization.","author":[{"dropping-particle":"Von","family":"Buchstab","given":"V","non-dropping-particle":"","parse-names":false,"suffix":""}],"container-title":"Design Engineering (Toronto)","id":"ITEM-2","issue":"8","issued":{"date-parts":[["2005"]]},"page":"14-16","title":"Automotive design: Thinking outside the box","type":"article","volume":"51"},"uris":["http://www.mendeley.com/documents/?uuid=fafef1b4-604c-47b0-9672-4f5604721538"]},{"id":"ITEM-3","itemData":{"DOI":"10.1007/978-3-642-31991-4_1","ISBN":"9783642319914 (ISBN); 9783642319907 (ISBN)","author":[{"dropping-particle":"","family":"Meinel","given":"C","non-dropping-particle":"","parse-names":false,"suffix":""},{"dropping-particle":"","family":"Leifer","given":"L","non-dropping-particle":"","parse-names":false,"suffix":""}],"container-title":"Design Thinking Research: Measuring Performance in Context","id":"ITEM-3","issued":{"date-parts":[["2012"]]},"note":"Cited By (since 2012): 3","page":"1-10","publisher":"Springer Berlin Heidelberg","title":"Design thinking research","type":"article"},"uris":["http://www.mendeley.com/documents/?uuid=b445f9d0-29b2-4fbd-a429-944d9301c2e5"]}],"mendeley":{"formattedCitation":"(Buchstab, 2005; Johansson-SkÃ¶ldberg et al., 2013; Meinel &amp; Leifer, 2012)","plainTextFormattedCitation":"(Buchstab, 2005; Johansson-SkÃ¶ldberg et al., 2013; Meinel &amp; Leifer, 2012)","previouslyFormattedCitation":"(Buchstab, 2005; Johansson-SkÃ¶ldberg et al., 2013; Meinel &amp; Leifer, 2012)"},"properties":{"noteIndex":0},"schema":"https://github.com/citation-style-language/schema/raw/master/csl-citation.json"}</w:instrText>
      </w:r>
      <w:r w:rsidR="00064DD5" w:rsidRPr="00E345FB">
        <w:rPr>
          <w:sz w:val="22"/>
          <w:szCs w:val="22"/>
          <w:lang w:val="en-GB" w:eastAsia="en-US"/>
        </w:rPr>
        <w:fldChar w:fldCharType="separate"/>
      </w:r>
      <w:r w:rsidR="000C6954" w:rsidRPr="00E345FB">
        <w:rPr>
          <w:noProof/>
          <w:sz w:val="22"/>
          <w:szCs w:val="22"/>
          <w:lang w:val="en-GB" w:eastAsia="en-US"/>
        </w:rPr>
        <w:t>(Buchstab, 2005; Johansson-SkÃ¶ldberg et al., 2013; Meinel &amp; Leifer, 2012)</w:t>
      </w:r>
      <w:r w:rsidR="00064DD5" w:rsidRPr="00E345FB">
        <w:rPr>
          <w:sz w:val="22"/>
          <w:szCs w:val="22"/>
          <w:lang w:val="en-GB" w:eastAsia="en-US"/>
        </w:rPr>
        <w:fldChar w:fldCharType="end"/>
      </w:r>
      <w:r w:rsidRPr="00E345FB">
        <w:rPr>
          <w:sz w:val="22"/>
          <w:szCs w:val="22"/>
          <w:lang w:val="en-GB" w:eastAsia="en-US"/>
        </w:rPr>
        <w:t xml:space="preserve">. In today's rapidly changing technology and </w:t>
      </w:r>
      <w:r w:rsidRPr="00E345FB">
        <w:rPr>
          <w:sz w:val="22"/>
          <w:szCs w:val="22"/>
          <w:lang w:val="en-GB" w:eastAsia="en-US"/>
        </w:rPr>
        <w:lastRenderedPageBreak/>
        <w:t>globally competitive environment, success calls for developing and using a unique set of competencies. Design thinking is one of these qualities</w:t>
      </w:r>
      <w:r w:rsidR="00064DD5" w:rsidRPr="00E345FB">
        <w:rPr>
          <w:sz w:val="22"/>
          <w:szCs w:val="22"/>
          <w:lang w:val="en-GB" w:eastAsia="en-US"/>
        </w:rPr>
        <w:fldChar w:fldCharType="begin" w:fldLock="1"/>
      </w:r>
      <w:r w:rsidR="00752F32" w:rsidRPr="00E345FB">
        <w:rPr>
          <w:sz w:val="22"/>
          <w:szCs w:val="22"/>
          <w:lang w:val="en-GB" w:eastAsia="en-US"/>
        </w:rPr>
        <w:instrText>ADDIN CSL_CITATION {"citationItems":[{"id":"ITEM-1","itemData":{"DOI":"10.1007/s10798-021-09724-z","ISBN":"0123456789","ISSN":"15731804","abstract":"This study investigates the effects of using design thinking on students’ problem solving and creativity skills, applying a constructivist learning theory. A course where students use design thinking for analyzing real problems and proposing a solution, was evaluated. The study involved 910 novice university students from different disciplines who worked in teams throughout the semester. Data were collected at three times during the semester, i.e. at the beginning (t0), in the middle (t1) and at the end (t2), after solving a short case study. Each time the problem solving and creativity skill of each student was rated by three different actors, i.e. the students themselves (self-evaluation), one peer and one teacher (facilitator). The objective of this study is to investigate whether the problem solving skills and creativity skills improved along the course, as rated by the three actors. A repeated measures ANOVA was used for the data analysis of this within-subjects design. Results show a significant improvement on students’ problem solving and creativity skills, according to the three raters. Effect sizes were also calculated; in all cases the effect sizes from t0 to t1 were larger than t1 to t2. The multi-actor perspective of this study, the adoption of reliable and valid measures and the large sample size provide robust evidence that supports the implementation of design thinking in higher education curriculum for promoting key skills such as problem solving and creativity, demanded by labor markets. Finally, a discussion that puts forward an agenda for future research is presented.","author":[{"dropping-particle":"","family":"Guaman-Quintanilla","given":"Sharon","non-dropping-particle":"","parse-names":false,"suffix":""},{"dropping-particle":"","family":"Everaert","given":"Patricia","non-dropping-particle":"","parse-names":false,"suffix":""},{"dropping-particle":"","family":"Chiluiza","given":"Katherine","non-dropping-particle":"","parse-names":false,"suffix":""},{"dropping-particle":"","family":"Valcke","given":"Martin","non-dropping-particle":"","parse-names":false,"suffix":""}],"container-title":"International Journal of Technology and Design Education","id":"ITEM-1","issue":"0123456789","issued":{"date-parts":[["2022"]]},"publisher":"Springer Netherlands","title":"Impact of design thinking in higher education: a multi-actor perspective on problem solving and creativity","type":"article-journal"},"uris":["http://www.mendeley.com/documents/?uuid=617bd005-22ba-4ad9-b798-b45784a3e6dc"]},{"id":"ITEM-2","itemData":{"DOI":"10.1016/j.tsc.2017.10.001","ISSN":"18711871 (ISSN)","abstract":"The problems educators face in professional practice are complex, varied, and difficult to address. These issues range across teaching and learning topics, to social or community issues, classroom climate issues and countless others. Such problems are multifaceted, cross-disciplinary, human-centered, and rarely solved through simple or linear solutions. Grappling with them requires educators to think creatively about educational problems of practice. But given the challenges and expectations facing teachers, creativity is often seen as leisure in teaching practice. While creativity is considered a core 21st century thinking skill, many people are hesitant to self-identify as â€œcreative,â€ or are uncomfortable with intellectual risk-taking and open-endedness. We suggest that design thinking may provide an accessible structure for teachers and teacher educators to think creatively in dealing with educational problems of practice. We examine a qualitative study of a graduate teaching course framed around using design thinking to creatively approach educational problems of practice. We discuss thematic takeaways that teachers experienced in learning about and using design thinking skills to approach educational problems of practice. Implications suggest that design thinking skills may provide habits of mind that benefit teachers in creative problem navigating. Â© 2017 Elsevier Ltd","author":[{"dropping-particle":"","family":"Henriksen","given":"D","non-dropping-particle":"","parse-names":false,"suffix":""},{"dropping-particle":"","family":"Richardson","given":"C","non-dropping-particle":"","parse-names":false,"suffix":""},{"dropping-particle":"","family":"Mehta","given":"R","non-dropping-particle":"","parse-names":false,"suffix":""}],"container-title":"Thinking Skills and Creativity","id":"ITEM-2","issued":{"date-parts":[["2017"]]},"note":"Cited By (since 2017): 72","page":"140-153","publisher":"Elsevier Ltd","title":"Design thinking: A creative approach to educational problems of practice","type":"article-journal","volume":"26"},"uris":["http://www.mendeley.com/documents/?uuid=784e8ff7-92f1-492a-86d3-5d78f46a250d"]}],"mendeley":{"formattedCitation":"(Guaman-Quintanilla et al., 2022; Henriksen et al., 2017)","plainTextFormattedCitation":"(Guaman-Quintanilla et al., 2022; Henriksen et al., 2017)","previouslyFormattedCitation":"(Guaman-Quintanilla et al., 2022; Henriksen et al., 2017)"},"properties":{"noteIndex":0},"schema":"https://github.com/citation-style-language/schema/raw/master/csl-citation.json"}</w:instrText>
      </w:r>
      <w:r w:rsidR="00064DD5" w:rsidRPr="00E345FB">
        <w:rPr>
          <w:sz w:val="22"/>
          <w:szCs w:val="22"/>
          <w:lang w:val="en-GB" w:eastAsia="en-US"/>
        </w:rPr>
        <w:fldChar w:fldCharType="separate"/>
      </w:r>
      <w:r w:rsidR="00752F32" w:rsidRPr="00E345FB">
        <w:rPr>
          <w:noProof/>
          <w:sz w:val="22"/>
          <w:szCs w:val="22"/>
          <w:lang w:val="en-GB" w:eastAsia="en-US"/>
        </w:rPr>
        <w:t>(Guaman-Quintanilla et al., 2022; Henriksen et al., 2017)</w:t>
      </w:r>
      <w:r w:rsidR="00064DD5" w:rsidRPr="00E345FB">
        <w:rPr>
          <w:sz w:val="22"/>
          <w:szCs w:val="22"/>
          <w:lang w:val="en-GB" w:eastAsia="en-US"/>
        </w:rPr>
        <w:fldChar w:fldCharType="end"/>
      </w:r>
      <w:r w:rsidRPr="00E345FB">
        <w:rPr>
          <w:sz w:val="22"/>
          <w:szCs w:val="22"/>
          <w:lang w:val="en-GB" w:eastAsia="en-US"/>
        </w:rPr>
        <w:t xml:space="preserve">. In 1954, William F.'s Ballhausin study was the first to adopt design thinking. His research focused on clear design thinking with aircraft growth in the technical </w:t>
      </w:r>
      <w:r w:rsidRPr="00E345FB">
        <w:rPr>
          <w:sz w:val="22"/>
          <w:szCs w:val="22"/>
          <w:lang w:val="en-GB" w:eastAsia="en-US"/>
        </w:rPr>
        <w:lastRenderedPageBreak/>
        <w:t>field. The concept of design thinking did not gain momentum in the academic community until it was implemented in the architectural industry in 1994 and 1995.</w:t>
      </w:r>
    </w:p>
    <w:p w:rsidR="00AA6EC1" w:rsidRPr="00E345FB" w:rsidRDefault="00AA6EC1" w:rsidP="00E345FB">
      <w:pPr>
        <w:pStyle w:val="IJOPCMBody"/>
        <w:suppressAutoHyphens/>
        <w:spacing w:before="0" w:after="0"/>
        <w:rPr>
          <w:sz w:val="22"/>
          <w:szCs w:val="22"/>
          <w:lang w:val="en-GB" w:eastAsia="en-US"/>
        </w:rPr>
      </w:pPr>
    </w:p>
    <w:p w:rsidR="00754E1B" w:rsidRPr="00E345FB" w:rsidRDefault="00754E1B" w:rsidP="00E345FB">
      <w:pPr>
        <w:pStyle w:val="IJOPCMBody"/>
        <w:suppressAutoHyphens/>
        <w:spacing w:before="0" w:after="0"/>
        <w:rPr>
          <w:sz w:val="22"/>
          <w:szCs w:val="22"/>
          <w:lang w:val="en-GB" w:eastAsia="en-US"/>
        </w:rPr>
      </w:pPr>
      <w:r w:rsidRPr="00E345FB">
        <w:rPr>
          <w:sz w:val="22"/>
          <w:szCs w:val="22"/>
          <w:lang w:val="en-GB" w:eastAsia="en-US"/>
        </w:rPr>
        <w:t xml:space="preserve">However, in the last 10 years, design thinking as an approach for teaching </w:t>
      </w:r>
      <w:r w:rsidR="00497C52" w:rsidRPr="00E345FB">
        <w:rPr>
          <w:sz w:val="22"/>
          <w:szCs w:val="22"/>
          <w:lang w:val="en-GB" w:eastAsia="en-US"/>
        </w:rPr>
        <w:t>has shown</w:t>
      </w:r>
      <w:r w:rsidRPr="00E345FB">
        <w:rPr>
          <w:sz w:val="22"/>
          <w:szCs w:val="22"/>
          <w:lang w:val="en-GB" w:eastAsia="en-US"/>
        </w:rPr>
        <w:t xml:space="preserve"> increased interest among researchers</w:t>
      </w:r>
      <w:r w:rsidR="00064DD5" w:rsidRPr="00E345FB">
        <w:rPr>
          <w:sz w:val="22"/>
          <w:szCs w:val="22"/>
          <w:lang w:val="en-GB" w:eastAsia="en-US"/>
        </w:rPr>
        <w:fldChar w:fldCharType="begin" w:fldLock="1"/>
      </w:r>
      <w:r w:rsidR="000C6954" w:rsidRPr="00E345FB">
        <w:rPr>
          <w:sz w:val="22"/>
          <w:szCs w:val="22"/>
          <w:lang w:val="en-GB" w:eastAsia="en-US"/>
        </w:rPr>
        <w:instrText>ADDIN CSL_CITATION {"citationItems":[{"id":"ITEM-1","itemData":{"ISBN":"2095-1779","ISSN":"13205463","PMID":"22726068","abstract":"A 79-year-old Japanese woman was admitted to our hospital for treatment of a pancreatic tumor measuring approximately 7 × 5 cm. The tumor had invaded the left adrenal gland and gastric wall and had penetrated into the gastric cavity. Surgical resection was performed. The tumor was composed of a brown to whitish solid area and a zone of hemorrhage, necrosis, and cystic degeneration resembling the gross features of solid pseudopapillary tumor (SPT). Histologically, the tumor showed a heterogeneous growth pattern with a combination of seat-like, trabecular, papillary and hemorrhagic-necrotic areas in various proportions. The differential diagnoses first considered were acinar cell carcinoma, neuroendocrine carcinoma and SPT with malignant transformation. Immunohistochemistry showed tumor cells were negative for pancreatic exocrine enzymes and endocrine markers. Tumor cells diffusely expressed cytokeratin 19, alpha-fetoprotein, carcinoembryonic antigen and glypican-3, but lacked vimentin or β-catenin expression. Small proportions of tumor cells expressed hepatocyte paraffin-1. Although typical morphological features of well-differentiated hepatocellular carcinoma (HCC) were not distinctly apparent, the tumor morphology partly resembled poorly differentiated HCC. Given these findings and considerations, the tumor was finally diagnosed as poorly differentiated hepatoid carcinoma of the pancreas.","author":[{"dropping-particle":"","family":"OCDE","given":"","non-dropping-particle":"","parse-names":false,"suffix":""}],"container-title":"OECD Education Working Papers","id":"ITEM-1","issued":{"date-parts":[["2018"]]},"page":"23","title":"The Future of Education and Skills: Education 2030","type":"article-journal"},"uris":["http://www.mendeley.com/documents/?uuid=69c5d0b6-bf3b-43c0-a115-4a897ba51d61"]}],"mendeley":{"formattedCitation":"(OCDE, 2018)","manualFormatting":"(OCDE, 2018","plainTextFormattedCitation":"(OCDE, 2018)","previouslyFormattedCitation":"(OCDE, 2018)"},"properties":{"noteIndex":0},"schema":"https://github.com/citation-style-language/schema/raw/master/csl-citation.json"}</w:instrText>
      </w:r>
      <w:r w:rsidR="00064DD5" w:rsidRPr="00E345FB">
        <w:rPr>
          <w:sz w:val="22"/>
          <w:szCs w:val="22"/>
          <w:lang w:val="en-GB" w:eastAsia="en-US"/>
        </w:rPr>
        <w:fldChar w:fldCharType="separate"/>
      </w:r>
      <w:r w:rsidR="00F0577B" w:rsidRPr="00E345FB">
        <w:rPr>
          <w:noProof/>
          <w:sz w:val="22"/>
          <w:szCs w:val="22"/>
          <w:lang w:val="en-GB" w:eastAsia="en-US"/>
        </w:rPr>
        <w:t>(OCDE, 2018</w:t>
      </w:r>
      <w:r w:rsidR="00064DD5" w:rsidRPr="00E345FB">
        <w:rPr>
          <w:sz w:val="22"/>
          <w:szCs w:val="22"/>
          <w:lang w:val="en-GB" w:eastAsia="en-US"/>
        </w:rPr>
        <w:fldChar w:fldCharType="end"/>
      </w:r>
      <w:r w:rsidR="000C6954" w:rsidRPr="00E345FB">
        <w:rPr>
          <w:sz w:val="22"/>
          <w:szCs w:val="22"/>
          <w:lang w:val="en-GB" w:eastAsia="en-US"/>
        </w:rPr>
        <w:t xml:space="preserve">; </w:t>
      </w:r>
      <w:r w:rsidR="00064DD5" w:rsidRPr="00E345FB">
        <w:rPr>
          <w:sz w:val="22"/>
          <w:szCs w:val="22"/>
          <w:lang w:val="en-GB" w:eastAsia="en-US"/>
        </w:rPr>
        <w:fldChar w:fldCharType="begin" w:fldLock="1"/>
      </w:r>
      <w:r w:rsidR="00F0577B" w:rsidRPr="00E345FB">
        <w:rPr>
          <w:sz w:val="22"/>
          <w:szCs w:val="22"/>
          <w:lang w:val="en-GB" w:eastAsia="en-US"/>
        </w:rPr>
        <w:instrText>ADDIN CSL_CITATION {"citationItems":[{"id":"ITEM-1","itemData":{"DOI":"10.1016/j.tsc.2017.10.001","ISSN":"18711871 (ISSN)","abstract":"The problems educators face in professional practice are complex, varied, and difficult to address. These issues range across teaching and learning topics, to social or community issues, classroom climate issues and countless others. Such problems are multifaceted, cross-disciplinary, human-centered, and rarely solved through simple or linear solutions. Grappling with them requires educators to think creatively about educational problems of practice. But given the challenges and expectations facing teachers, creativity is often seen as leisure in teaching practice. While creativity is considered a core 21st century thinking skill, many people are hesitant to self-identify as â€œcreative,â€ or are uncomfortable with intellectual risk-taking and open-endedness. We suggest that design thinking may provide an accessible structure for teachers and teacher educators to think creatively in dealing with educational problems of practice. We examine a qualitative study of a graduate teaching course framed around using design thinking to creatively approach educational problems of practice. We discuss thematic takeaways that teachers experienced in learning about and using design thinking skills to approach educational problems of practice. Implications suggest that design thinking skills may provide habits of mind that benefit teachers in creative problem navigating. Â© 2017 Elsevier Ltd","author":[{"dropping-particle":"","family":"Henriksen","given":"D","non-dropping-particle":"","parse-names":false,"suffix":""},{"dropping-particle":"","family":"Richardson","given":"C","non-dropping-particle":"","parse-names":false,"suffix":""},{"dropping-particle":"","family":"Mehta","given":"R","non-dropping-particle":"","parse-names":false,"suffix":""}],"container-title":"Thinking Skills and Creativity","id":"ITEM-1","issued":{"date-parts":[["2017"]]},"note":"Cited By (since 2017): 72","page":"140-153","publisher":"Elsevier Ltd","title":"Design thinking: A creative approach to educational problems of practice","type":"article-journal","volume":"26"},"uris":["http://www.mendeley.com/documents/?uuid=784e8ff7-92f1-492a-86d3-5d78f46a250d"]},{"id":"ITEM-2","itemData":{"DOI":"10.1049/iet-sen.2019.0300","ISSN":"17518806 (ISSN)","abstract":"The development of systems with different features becomes increasingly challenging, given the actual context, implying on the search for new approaches for requirements elicitation. One of these approaches is design thinking (DT), a process of encouraging innovation used by designers, which presents itself as fundamental in the success of new products. This scenario motivates the importance of knowing DT concepts and their techniques, which can support requirements elicitation. In this context, the authors present DTA4RE (DT assistant for requirements elicitation), a tool that suggests DT techniques for requirements elicitation, which can be used by both students and professionals who would like to adopt DT in their projects. The DTA4RE is composed of a set of 27 techniques that could be suggested to the user through a recommendation questionnaire as well as an open repository with material to support the application of these techniques. Results from the authors' two empirical studies with software engineering undergraduate and graduate students and industry professionals indicate that DTA4RE has helped in the selection of and in the learning of DT techniques when considering real problems. Most participants considered the questions from the recommendation questionnaire easy to answer, and the techniques suggested by the tool useful. Â© 2020 Institution of Engineering and Technology. All rights reserved.","author":[{"dropping-particle":"","family":"Souza","given":"A","non-dropping-particle":"","parse-names":false,"suffix":""},{"dropping-particle":"","family":"Ferreira","given":"B","non-dropping-particle":"","parse-names":false,"suffix":""},{"dropping-particle":"","family":"Valentim","given":"N","non-dropping-particle":"","parse-names":false,"suffix":""},{"dropping-particle":"","family":"Correa","given":"L","non-dropping-particle":"","parse-names":false,"suffix":""},{"dropping-particle":"","family":"Marczak","given":"S","non-dropping-particle":"","parse-names":false,"suffix":""},{"dropping-particle":"","family":"Conte","given":"T","non-dropping-particle":"","parse-names":false,"suffix":""}],"container-title":"IET Software","id":"ITEM-2","issue":"6","issued":{"date-parts":[["2020"]]},"note":"Cited By (since 2020): 5","page":"693-701","publisher":"Institution of Engineering and Technology","title":"Supporting the teaching of design thinking techniques for requirements elicitation through a recommendation tool","type":"article-journal","volume":"14"},"uris":["http://www.mendeley.com/documents/?uuid=465a07c5-0351-4d5b-846e-8faab7964909"]},{"id":"ITEM-3","itemData":{"DOI":"10.1515/edu-2019-0006","ISSN":"25447831 (ISSN)","abstract":"This paper explores the educator experience and sense-making of design thinking pedagogy in the higher education context. Design thinking has become a pedagogical phenomenon in higher education due to its widespread relevance across many disciplines. Some studies discuss design thinking as a pedagogy in the educational context; however, there is a lack of empirical research to understand the educator perspective on design thinking pedagogy. Three design thinking educators who have had more than fifteen years of teaching experience were interviewed to explore their experiences. The data from these individual in-depth, semi-structured interviews were analysed employing Interpretative Phenomenological Analysis (IPA). One super-ordinate theme; capability building for everyone, and four subordinate themes; developing a participatory approach towards world issues; developing an open, explorative attitude; developing creative ability; and developing an ethical mindset were identified. From these findings, the paper argues that design thinking educators have the basis for a pedagogical rationale that transcends disciplinary boundaries and provides common ground for collaboration and on-going development of design thinking pedagogy as an emerging field in education. Â© 2019 Gnanaharsha Beligatamulla et al., published by De Gruyter.","author":[{"dropping-particle":"","family":"Beligatamulla","given":"G","non-dropping-particle":"","parse-names":false,"suffix":""},{"dropping-particle":"","family":"Rieger","given":"J","non-dropping-particle":"","parse-names":false,"suffix":""},{"dropping-particle":"","family":"Franz","given":"J","non-dropping-particle":"","parse-names":false,"suffix":""},{"dropping-particle":"","family":"Strickfaden","given":"M","non-dropping-particle":"","parse-names":false,"suffix":""}],"container-title":"Open Education Studies","id":"ITEM-3","issue":"1","issued":{"date-parts":[["2019"]]},"note":"Cited By (since 2019): 3","page":"91-105","publisher":"De Gruyter Open Ltd","title":"Making Pedagogic Sense of Design Thinking in the Higher Education Context","type":"article-journal","volume":"1"},"uris":["http://www.mendeley.com/documents/?uuid=53687c70-69c5-4615-b086-1fd7c34f97df"]},{"id":"ITEM-4","itemData":{"ISBN":"2095-1779","ISSN":"13205463","PMID":"22726068","abstract":"A 79-year-old Japanese woman was admitted to our hospital for treatment of a pancreatic tumor measuring approximately 7 × 5 cm. The tumor had invaded the left adrenal gland and gastric wall and had penetrated into the gastric cavity. Surgical resection was performed. The tumor was composed of a brown to whitish solid area and a zone of hemorrhage, necrosis, and cystic degeneration resembling the gross features of solid pseudopapillary tumor (SPT). Histologically, the tumor showed a heterogeneous growth pattern with a combination of seat-like, trabecular, papillary and hemorrhagic-necrotic areas in various proportions. The differential diagnoses first considered were acinar cell carcinoma, neuroendocrine carcinoma and SPT with malignant transformation. Immunohistochemistry showed tumor cells were negative for pancreatic exocrine enzymes and endocrine markers. Tumor cells diffusely expressed cytokeratin 19, alpha-fetoprotein, carcinoembryonic antigen and glypican-3, but lacked vimentin or β-catenin expression. Small proportions of tumor cells expressed hepatocyte paraffin-1. Although typical morphological features of well-differentiated hepatocellular carcinoma (HCC) were not distinctly apparent, the tumor morphology partly resembled poorly differentiated HCC. Given these findings and considerations, the tumor was finally diagnosed as poorly differentiated hepatoid carcinoma of the pancreas.","author":[{"dropping-particle":"","family":"OCDE","given":"","non-dropping-particle":"","parse-names":false,"suffix":""}],"container-title":"OECD Education Working Papers","id":"ITEM-4","issued":{"date-parts":[["2018"]]},"page":"23","title":"The Future of Education and Skills: Education 2030","type":"article-journal"},"uris":["http://www.mendeley.com/documents/?uuid=69c5d0b6-bf3b-43c0-a115-4a897ba51d61"]}],"mendeley":{"formattedCitation":"(Beligatamulla et al., 2019; Henriksen et al., 2017; OCDE, 2018; Souza et al., 2020)","manualFormatting":"Beligatamulla et al., 2019; Henriksen et al., 2017; Souza et al., 2020)","plainTextFormattedCitation":"(Beligatamulla et al., 2019; Henriksen et al., 2017; OCDE, 2018; Souza et al., 2020)","previouslyFormattedCitation":"(Beligatamulla et al., 2019; Henriksen et al., 2017; OCDE, 2018; Souza et al., 2020)"},"properties":{"noteIndex":0},"schema":"https://github.com/citation-style-language/schema/raw/master/csl-citation.json"}</w:instrText>
      </w:r>
      <w:r w:rsidR="00064DD5" w:rsidRPr="00E345FB">
        <w:rPr>
          <w:sz w:val="22"/>
          <w:szCs w:val="22"/>
          <w:lang w:val="en-GB" w:eastAsia="en-US"/>
        </w:rPr>
        <w:fldChar w:fldCharType="separate"/>
      </w:r>
      <w:r w:rsidR="00902852" w:rsidRPr="00E345FB">
        <w:rPr>
          <w:noProof/>
          <w:sz w:val="22"/>
          <w:szCs w:val="22"/>
          <w:lang w:val="en-GB" w:eastAsia="en-US"/>
        </w:rPr>
        <w:t>Beligatamulla et al., 2019; Henriksen et al., 2017; Souza et al., 2020)</w:t>
      </w:r>
      <w:r w:rsidR="00064DD5" w:rsidRPr="00E345FB">
        <w:rPr>
          <w:sz w:val="22"/>
          <w:szCs w:val="22"/>
          <w:lang w:val="en-GB" w:eastAsia="en-US"/>
        </w:rPr>
        <w:fldChar w:fldCharType="end"/>
      </w:r>
      <w:r w:rsidRPr="00E345FB">
        <w:rPr>
          <w:sz w:val="22"/>
          <w:szCs w:val="22"/>
          <w:lang w:val="en-GB" w:eastAsia="en-US"/>
        </w:rPr>
        <w:t xml:space="preserve">. Leaders worldwide also believe that innovation is the source of uniqueness and competitive advantage. </w:t>
      </w:r>
      <w:r w:rsidR="00305A98" w:rsidRPr="00E345FB">
        <w:rPr>
          <w:sz w:val="22"/>
          <w:szCs w:val="22"/>
          <w:lang w:val="en-GB" w:eastAsia="en-US"/>
        </w:rPr>
        <w:t xml:space="preserve">This is consistent with the finding by </w:t>
      </w:r>
      <w:r w:rsidR="00064DD5" w:rsidRPr="00E345FB">
        <w:rPr>
          <w:sz w:val="22"/>
          <w:szCs w:val="22"/>
          <w:lang w:val="en-GB" w:eastAsia="en-US"/>
        </w:rPr>
        <w:fldChar w:fldCharType="begin" w:fldLock="1"/>
      </w:r>
      <w:r w:rsidR="0069094D" w:rsidRPr="00E345FB">
        <w:rPr>
          <w:sz w:val="22"/>
          <w:szCs w:val="22"/>
          <w:lang w:val="en-GB" w:eastAsia="en-US"/>
        </w:rPr>
        <w:instrText>ADDIN CSL_CITATION {"citationItems":[{"id":"ITEM-1","itemData":{"ISSN":"00178012 (ISSN)","abstract":"In the past, design has most often occurred fairly far downstream in the development process and has focused on making new products aesthetically attractive or enhancing brand perception through smart, evocative advertising. Today, as innovation's terrain expands to encompass human-centered processes and services as well as products, companies are asking designers to create ideas rather than to simply dress them up. Brown, the CEO and president of the innovation and design firm IDEO, is a leading proponent of design thinking -a method of meeting people's needs and desires in a technologically feasible and strategically viable way. In this article he offers several intriguing examples of the discipline at work. One involves a collaboration between frontline employees from health care provider Kaiser Permanente and Brown's firm to reengineer nursing-staff shift changes at four Kaiser hospitals. Close observation of actual shift changes, combined with brainstorming and rapid prototyping, produced new procedures and software that radically streamlined information exchange between shifts. The result was more time for nursing, better-informed patient care, and a happier nursing staff. Another involves the Japanese bicycle components manufacturer Shimano, which worked with IDEO to learn why 90% of American adults don't ride bikes. The interdisciplinary project team discovered that intimidating retail experiences, the complexity and cost of sophisticated bikes, and the danger of cycling on heavily trafficked roads had overshadowed people's happy memories of childhood biking. So the team created a brand concept- \"Coasting\" -to describe a whole new category of biking and developed new in-store retailing strategies, a public relations campaign to identify safe places to cycle, and a reference design to inspire designers at the companies that went on to manufacture Coasting bikes.","author":[{"dropping-particle":"","family":"Brown","given":"T","non-dropping-particle":"","parse-names":false,"suffix":""}],"container-title":"Harvard Business Review","id":"ITEM-1","issue":"6","issued":{"date-parts":[["2008"]]},"note":"Cited By (since 2008): 1834","page":"84-92","title":"Design thinking","type":"article-journal","volume":"86"},"uris":["http://www.mendeley.com/documents/?uuid=d986cc83-ab34-46b0-88df-08115f3aba24"]}],"mendeley":{"formattedCitation":"(T Brown, 2008)","manualFormatting":"T Brown (2008)","plainTextFormattedCitation":"(T Brown, 2008)","previouslyFormattedCitation":"(T Brown, 2008)"},"properties":{"noteIndex":0},"schema":"https://github.com/citation-style-language/schema/raw/master/csl-citation.json"}</w:instrText>
      </w:r>
      <w:r w:rsidR="00064DD5" w:rsidRPr="00E345FB">
        <w:rPr>
          <w:sz w:val="22"/>
          <w:szCs w:val="22"/>
          <w:lang w:val="en-GB" w:eastAsia="en-US"/>
        </w:rPr>
        <w:fldChar w:fldCharType="separate"/>
      </w:r>
      <w:r w:rsidR="00DA1511" w:rsidRPr="00E345FB">
        <w:rPr>
          <w:noProof/>
          <w:sz w:val="22"/>
          <w:szCs w:val="22"/>
          <w:lang w:val="en-GB" w:eastAsia="en-US"/>
        </w:rPr>
        <w:t xml:space="preserve">T Brown </w:t>
      </w:r>
      <w:r w:rsidR="00A64C28" w:rsidRPr="00E345FB">
        <w:rPr>
          <w:noProof/>
          <w:sz w:val="22"/>
          <w:szCs w:val="22"/>
          <w:lang w:val="en-GB" w:eastAsia="en-US"/>
        </w:rPr>
        <w:t>(</w:t>
      </w:r>
      <w:r w:rsidR="00DA1511" w:rsidRPr="00E345FB">
        <w:rPr>
          <w:noProof/>
          <w:sz w:val="22"/>
          <w:szCs w:val="22"/>
          <w:lang w:val="en-GB" w:eastAsia="en-US"/>
        </w:rPr>
        <w:t>2008)</w:t>
      </w:r>
      <w:r w:rsidR="00064DD5" w:rsidRPr="00E345FB">
        <w:rPr>
          <w:sz w:val="22"/>
          <w:szCs w:val="22"/>
          <w:lang w:val="en-GB" w:eastAsia="en-US"/>
        </w:rPr>
        <w:fldChar w:fldCharType="end"/>
      </w:r>
      <w:r w:rsidR="00305A98" w:rsidRPr="00E345FB">
        <w:rPr>
          <w:sz w:val="22"/>
          <w:szCs w:val="22"/>
          <w:lang w:val="en-GB" w:eastAsia="en-US"/>
        </w:rPr>
        <w:t>, which showed that d</w:t>
      </w:r>
      <w:r w:rsidRPr="00E345FB">
        <w:rPr>
          <w:sz w:val="22"/>
          <w:szCs w:val="22"/>
          <w:lang w:val="en-GB" w:eastAsia="en-US"/>
        </w:rPr>
        <w:t xml:space="preserve">esign thinking has more managerial principles and best practices to explore, has a great more to contribute to the world in the coming days. </w:t>
      </w:r>
      <w:r w:rsidR="00305A98" w:rsidRPr="00E345FB">
        <w:rPr>
          <w:sz w:val="22"/>
          <w:szCs w:val="22"/>
          <w:lang w:val="en-GB" w:eastAsia="en-US"/>
        </w:rPr>
        <w:t>Recent evidence suggests that design thinking is seen as a collection of creative skills for understanding and resolving ambiguous, complex problems and a method for integrating people as the center of the design process</w:t>
      </w:r>
      <w:r w:rsidR="00064DD5" w:rsidRPr="00E345FB">
        <w:rPr>
          <w:sz w:val="22"/>
          <w:szCs w:val="22"/>
          <w:lang w:val="en-GB" w:eastAsia="en-US"/>
        </w:rPr>
        <w:fldChar w:fldCharType="begin" w:fldLock="1"/>
      </w:r>
      <w:r w:rsidR="00DA1511" w:rsidRPr="00E345FB">
        <w:rPr>
          <w:sz w:val="22"/>
          <w:szCs w:val="22"/>
          <w:lang w:val="en-GB" w:eastAsia="en-US"/>
        </w:rPr>
        <w:instrText>ADDIN CSL_CITATION {"citationItems":[{"id":"ITEM-1","itemData":{"DOI":"10.1016/j.sheji.2019.11.014","ISBN":"24058726 (ISSN)","abstract":"This is a commentary on Michael Lissack's two-part article â€œUnderstanding is a Design Problem: Cognizing from a Designerly Thinking Perspective.â€ The insights and activities suggested by Lissack's thoughtful article are certainly valuable. However, by themselves, they are insufficient. Progress in improving understanding may be slow and may shift in less useful directions. And there is no way to be reasonably certain that the resulting knowledge will enable our collective understanding for resolving the highly complex problems of the world. In this commentary, I will identify some important areas of agreement with Lissack's article and show how a structural perspective to design thinking may be applied to more reliably generate actionable knowledge (including communication in the public sphere, theories, models, plans, and so on.) With this missing piece, design thinking becomes a more comprehensive, and so, more effective process. Â© 2019 Tongji University and Tongji University Press","author":[{"dropping-particle":"","family":"Wallis","given":"S E","non-dropping-particle":"","parse-names":false,"suffix":""}],"container-title":"She Ji","id":"ITEM-1","issue":"4","issued":{"date-parts":[["2019"]]},"note":"Cited By (since 2019): 2","page":"390-394","publisher":"Tongji University Press","title":"Understanding the Systemic Structure of Models: A Missing Piece of the Design Thinking Puzzle","type":"article","volume":"5"},"uris":["http://www.mendeley.com/documents/?uuid=332b4f01-b49d-49e3-b8ce-2b8607fa5227"]},{"id":"ITEM-2","itemData":{"ISBN":"21535965 (ISSN)","abstract":"This paper highlights the establishment of an on-campus center for biomedical engineering design and innovation (BioInnovation and Design Lab) that partners with industry to apply design thinking and entrepreneurial skills to solve 21st-century problems across biomedical fields. The students, faculty, and research staff affiliated with the Lab leverage an authentic design process that sources real-world engineering problems and engages multidisciplinary teams of engineers, scientists, and business professionals in an immersive and iterative prototyping process. To scale and sustain the impact of the Lab, a three-way value proposition was developed that aimed to deliver value to the students, faculty, and external partners. The Lab offers students immersive co-curricular experiences and design projects that enable them to work with real industry customers and expert mentors to gain applied skills that advance their careers in healthcare innovation. It aligns and extends the expertise of faculty through key external partnerships by enabling sponsored industry projects and paving the way for long-term partnerships in select technical areas. The Lab creates value for external partners by undertaking research and design projects that address key business objectives. The activities of the Lab are measured against performance indicators directly related to student training and engagement of faculty and industry mentors and adjusted to improve overall efficiency. In addition, we gathered qualitative data to ascertain the successful delivery of the value propositions. Recent lab alumni and industry partners were surveyed to determine whether they received the value that was promised and expected, as well as to discover why the lab was important to them, and what they valued most. We invited feedback from representatives of the university and school corporate and external relations programs, as well as the members of its advisory board to learn more about the overall value the Lab brings to the university and its stakeholders. Â© American Society for Engineering Education, 2021","author":[{"dropping-particle":"","family":"Scott","given":"J A","non-dropping-particle":"","parse-names":false,"suffix":""},{"dropping-particle":"","family":"Bouzos","given":"E","non-dropping-particle":"","parse-names":false,"suffix":""},{"dropping-particle":"","family":"Hendricks","given":"M P","non-dropping-particle":"","parse-names":false,"suffix":""},{"dropping-particle":"","family":"Asuri","given":"P","non-dropping-particle":"","parse-names":false,"suffix":""}],"container-title":"2021 ASEE Virtual Annual Conference, ASEE 2021","id":"ITEM-2","issued":{"date-parts":[["2021"]]},"publisher":"American Society for Engineering Education","title":"Cultivating Student Adoption of Design Thinking and Entrepreneurial Skills by Addressing Complex Challenges in Healthcare Through Industry Partnerships","type":"article"},"uris":["http://www.mendeley.com/documents/?uuid=7fad0276-ec4d-4994-80a0-1ed7d5c41bc0"]},{"id":"ITEM-3","itemData":{"DOI":"10.3390/joitmc8010004","abstract":"Citation: Ramírez-Montoya, M.S.; Castillo-Martínez, I.M.; Sanabria-Z, J.; Miranda, J. Complex Thinking in the Framework of Education 4.0 and Open Innovation-A Systematic Literature Review. J. Open Innov. Technol. Mark. Complex. 2022, 8, 4. Abstract: Today's complex, dynamic, interconnected world presents the field of education (\"Educa-tion 4.0\") with significant challenges in developing competencies for reasoning for complexity. This article analyzes complex thinking as a macro-competency with sub-competencies of critical, systemic, scientific, and innovative thinking in educational environments. We worked with the systematic literature review method, selecting 35 articles in the Scopus and Web of Science databases using keywords words of interest and applying inclusion and exclusion criteria. Seven research questions guided the data analysis. The results highlighted that: (a) there are common characteristics of studies linking complex thinking, critical thinking, and creative thinking; (b) there is predominance of the qualitative method in the studies; (c) the critical thinking competency has been the most addressed in the research; (d) the predominant components of Education 4.0 are teaching methods and techniques; and (e) the three challenges that stand out for educational research are project feasibility, research opportunities, and required skills. This article is intended to be of value to academic and social communities and decision-makers interested in developing reasoning for complexity within the framework of Education 4.0.","author":[{"dropping-particle":"","family":"Soledad Ramírez-Montoya","given":"María","non-dropping-particle":"","parse-names":false,"suffix":""},{"dropping-particle":"","family":"Castillo-Martínez","given":"Isolda Margarita","non-dropping-particle":"","parse-names":false,"suffix":""},{"dropping-particle":"","family":"Sanabria-Z","given":"Jorge","non-dropping-particle":"","parse-names":false,"suffix":""},{"dropping-particle":"","family":"Miranda","given":"Jhonattan","non-dropping-particle":"","parse-names":false,"suffix":""}],"container-title":"Journal of Open Innovation: Technology, Market, and Complexity Article","id":"ITEM-3","issued":{"date-parts":[["2022"]]},"title":"Complex Thinking in the Framework of Education 4.0 and Open Innovation-A Systematic Literature Review","type":"article-journal"},"uris":["http://www.mendeley.com/documents/?uuid=ce266cab-e07e-38df-a101-2fe0a7ae5011"]}],"mendeley":{"formattedCitation":"(Scott et al., 2021; Soledad Ramírez-Montoya et al., 2022; Wallis, 2019)","plainTextFormattedCitation":"(Scott et al., 2021; Soledad Ramírez-Montoya et al., 2022; Wallis, 2019)","previouslyFormattedCitation":"(Scott et al., 2021; Soledad Ramírez-Montoya et al., 2022; Wallis, 2019)"},"properties":{"noteIndex":0},"schema":"https://github.com/citation-style-language/schema/raw/master/csl-citation.json"}</w:instrText>
      </w:r>
      <w:r w:rsidR="00064DD5" w:rsidRPr="00E345FB">
        <w:rPr>
          <w:sz w:val="22"/>
          <w:szCs w:val="22"/>
          <w:lang w:val="en-GB" w:eastAsia="en-US"/>
        </w:rPr>
        <w:fldChar w:fldCharType="separate"/>
      </w:r>
      <w:r w:rsidR="00DA1511" w:rsidRPr="00E345FB">
        <w:rPr>
          <w:noProof/>
          <w:sz w:val="22"/>
          <w:szCs w:val="22"/>
          <w:lang w:val="en-GB" w:eastAsia="en-US"/>
        </w:rPr>
        <w:t>(Scott et al., 2021; Soledad Ramírez-Montoya et al., 2022; Wallis, 2019)</w:t>
      </w:r>
      <w:r w:rsidR="00064DD5" w:rsidRPr="00E345FB">
        <w:rPr>
          <w:sz w:val="22"/>
          <w:szCs w:val="22"/>
          <w:lang w:val="en-GB" w:eastAsia="en-US"/>
        </w:rPr>
        <w:fldChar w:fldCharType="end"/>
      </w:r>
      <w:r w:rsidRPr="00E345FB">
        <w:rPr>
          <w:sz w:val="22"/>
          <w:szCs w:val="22"/>
          <w:lang w:val="en-GB" w:eastAsia="en-US"/>
        </w:rPr>
        <w:t>. Design thinking can encourage students to generate new ideas through a hands-on approach</w:t>
      </w:r>
      <w:r w:rsidR="00064DD5" w:rsidRPr="00E345FB">
        <w:rPr>
          <w:sz w:val="22"/>
          <w:szCs w:val="22"/>
          <w:lang w:val="en-GB" w:eastAsia="en-US"/>
        </w:rPr>
        <w:fldChar w:fldCharType="begin" w:fldLock="1"/>
      </w:r>
      <w:r w:rsidR="00DA1511" w:rsidRPr="00E345FB">
        <w:rPr>
          <w:sz w:val="22"/>
          <w:szCs w:val="22"/>
          <w:lang w:val="en-GB" w:eastAsia="en-US"/>
        </w:rPr>
        <w:instrText>ADDIN CSL_CITATION {"citationItems":[{"id":"ITEM-1","itemData":{"DOI":"10.1115/1.4007148","ISSN":"10500472 (ISSN)","abstract":"Engineering idea generation is a crucial part of new product development, and physical modeling is a widely used tool. Despite the physical models' popularity in the idea generation process, little is known about their effects on design cognition. The existing literature provides contradicting guidelines about their use in the design process. Product design firms call for the frequent use of physical models, but some studies suggest that physical models induce design fixation. The psychological literature indicates that physical representations, by supporting designers' mental models of physical phenomena, might lead to more feasible designs. The advantages and disadvantages of physical models as idea generation tools need to be clarified to help designers decide when and where to implement them. Based on prior studies and anecdotal evidence, two hypotheses are tested: (1) physical models supplement designer's mental models and (2) physical models induce design fixation. Two between-subject idea generation experiments with novice designers are conducted to evaluate these hypotheses. In the first pilot experiment, the participants generate ideas in three conditions: sketching only, building, and building and testing. This study is followed by a second experiment, in which a new condition called constrained sketching is added. In each condition, participants use the representation implied by the name of the condition. The percentage of ideas satisfying all design requirements indicates the physical models' effect on the designers' mental models. Novelty and variety are used as metrics for design fixation. The percentage of functional ideas quantified shows significant variation across the sketching and building conditions, whereas novelty and variety show no differences. These results support the argument that physical models supplement novice designer's mental models. No evidence of fixation is observed, which contradicts the results of the prior observational studies. Hypothesized reasons for the apparently contradictory results are also presented. Â© 2012 American Society of Mechanical Engineers.","author":[{"dropping-particle":"","family":"Viswanathan","given":"V K","non-dropping-particle":"","parse-names":false,"suffix":""},{"dropping-particle":"","family":"Linsey","given":"J S","non-dropping-particle":"","parse-names":false,"suffix":""}],"container-title":"Journal of Mechanical Design, Transactions of the ASME","id":"ITEM-1","issue":"9","issued":{"date-parts":[["2012"]]},"note":"Cited By (since 2012): 87","title":"Physical models and design thinking: A study of functionality, novelty and variety of ideas","type":"article-journal","volume":"134"},"uris":["http://www.mendeley.com/documents/?uuid=942cba3e-0e09-4427-ab48-46b1ce251638"]},{"id":"ITEM-2","itemData":{"DOI":"10.1017/dsi.2019.398","ISBN":"22204334 (ISSN)","abstract":"Design thinking as explored by Bernard Roth from the Stanford d.School, Roger Martin from the Rothman School of Management, and the IDEO merger trio by Tom and David Kelley, as well as current its CEO Tim Brown, dominates the narrative of the contemporary schools of design thinking since the late `90s. This article aims to investigate the underlying philosophies, authors, and events that laid the foundation in which these contemporary designers based their strategies on planning for complex environments. To satisfy this intent, the turbulent origin of design methods is explored, following the post-war environment that allowed these ideas to flourish, the generations of methods in design from the `60s to the `90s, and the encroachment of design methods to the embodiment of a commercialized design thinking methodology. Â© 2019 Design Society. All rights reserved.","author":[{"dropping-particle":"","family":"Menezes","given":"J.H.D.O.","non-dropping-particle":"","parse-names":false,"suffix":""}],"container-title":"22nd International Conference on Engineering Design, ICED 2019","id":"ITEM-2","issued":{"date-parts":[["2019"]]},"note":"Cited By (since 2019): 1","page":"3911-3917","publisher":"Cambridge University Press","title":"From tinkering methods to design thinking: Primordial thoughts in design research","type":"article","volume":"2019"},"uris":["http://www.mendeley.com/documents/?uuid=fc629358-43c4-4f2d-ac85-87cf44a373f2"]},{"id":"ITEM-3","itemData":{"abstract":"Change by Design-an evaluation by a fund-raiser. Where are the new fund-raising ideas? Most of the buzz continues to be from the business world-a world that has long known that keeping ahead and retaining customer loyalty is only as good as the next good idea. But ideas in fund-raising? My most recent excursion into fund-raising school was in Toronto where a fund-raising management course used crudely assembled and printed texts that served up bulleted lists of how-tos from the 1980s. The instructor wisely focused us on cases she had created and we used the texts only for the occasional reference (and they had limitations even there). Good though the teacher was, in the end it was the same old, same old-how to run a campaign, use a database, budget, manage a board, approach a donor… Nothing for instance that challenged the old models; nothing on how to think. It has been great therefore to be reading some of the latest entries in the business literature. These focus squarely on new ideas, innovation, thinking. Or more precisely, design thinking. An important book on this theme is Change by Design by Tim Brown (HarperCollins, NY, 2009). Brown is a designer who began with the old model for his field-making someone else's product look stylish. Design stopped there. Brown however did not stop there. His book is about his quest for the right role for design and the new vision that emerged, with many instructive (and hugely entertaining) examples along the way. Brown holds that design thinking can reshape the entire organization in such a way that it can not only continually innovate, but also continually outdo the competition. \"Design\" in this new iteration permeates both the organization that serves the customer and the customer experience that it delivers. And the \"thinking\" is a lot more than sitting like Rodin's Thinker with your chin in your hand. A \"design thinker\" is intensely collaborative, empathic, able to craft things in the real world. Combined, these two words become a new paradigm, one that ranges over a wide landscape of radical innovation. Innovation is key to success and radical ideas are the way to effective innovation. 1 The goal of this innovation is to realize-not just a nice product for the customer-but a good experience. \"Thinking through the process of serving a meal is the difference between cooking and designing an experience…\" 2 1 Incrementalism incidentally is the business-as-usual opposite. Brown refers with some contempt to \"the…","author":[{"dropping-particle":"","family":"Brown","given":"Tim","non-dropping-particle":"","parse-names":false,"suffix":""}],"container-title":"Mwo","id":"ITEM-3","issued":{"date-parts":[["2019"]]},"page":"124","title":"Business Concepts for Fundraising Change By Design : How Design Thinking Inspires Innovation Business Concepts for Fundraising","type":"article-journal"},"uris":["http://www.mendeley.com/documents/?uuid=89a5223a-1b71-4e92-b014-5e478201acea"]}],"mendeley":{"formattedCitation":"(Tim Brown, 2019; Menezes, 2019; Viswanathan &amp; Linsey, 2012)","plainTextFormattedCitation":"(Tim Brown, 2019; Menezes, 2019; Viswanathan &amp; Linsey, 2012)","previouslyFormattedCitation":"(Tim Brown, 2019; Menezes, 2019; Viswanathan &amp; Linsey, 2012)"},"properties":{"noteIndex":0},"schema":"https://github.com/citation-style-language/schema/raw/master/csl-citation.json"}</w:instrText>
      </w:r>
      <w:r w:rsidR="00064DD5" w:rsidRPr="00E345FB">
        <w:rPr>
          <w:sz w:val="22"/>
          <w:szCs w:val="22"/>
          <w:lang w:val="en-GB" w:eastAsia="en-US"/>
        </w:rPr>
        <w:fldChar w:fldCharType="separate"/>
      </w:r>
      <w:r w:rsidR="00902852" w:rsidRPr="00E345FB">
        <w:rPr>
          <w:noProof/>
          <w:sz w:val="22"/>
          <w:szCs w:val="22"/>
          <w:lang w:val="en-GB" w:eastAsia="en-US"/>
        </w:rPr>
        <w:t>(Tim Brown, 2019; Menezes, 2019; Viswanathan &amp; Linsey, 2012)</w:t>
      </w:r>
      <w:r w:rsidR="00064DD5" w:rsidRPr="00E345FB">
        <w:rPr>
          <w:sz w:val="22"/>
          <w:szCs w:val="22"/>
          <w:lang w:val="en-GB" w:eastAsia="en-US"/>
        </w:rPr>
        <w:fldChar w:fldCharType="end"/>
      </w:r>
      <w:r w:rsidRPr="00E345FB">
        <w:rPr>
          <w:sz w:val="22"/>
          <w:szCs w:val="22"/>
          <w:lang w:val="en-GB" w:eastAsia="en-US"/>
        </w:rPr>
        <w:t xml:space="preserve">. This exploration and engagement in the actual world with </w:t>
      </w:r>
      <w:r w:rsidR="00DA1511" w:rsidRPr="00E345FB">
        <w:rPr>
          <w:noProof/>
          <w:sz w:val="22"/>
          <w:szCs w:val="22"/>
          <w:lang w:val="en-GB" w:eastAsia="en-US"/>
        </w:rPr>
        <w:t>Menezes</w:t>
      </w:r>
      <w:r w:rsidRPr="00E345FB">
        <w:rPr>
          <w:sz w:val="22"/>
          <w:szCs w:val="22"/>
          <w:lang w:val="en-GB" w:eastAsia="en-US"/>
        </w:rPr>
        <w:t>honest feedback are crucial to connect with reflection activities.</w:t>
      </w:r>
    </w:p>
    <w:p w:rsidR="00754E1B" w:rsidRPr="00E345FB" w:rsidRDefault="00754E1B" w:rsidP="00E345FB">
      <w:pPr>
        <w:pStyle w:val="IJOPCMBody"/>
        <w:suppressAutoHyphens/>
        <w:spacing w:before="0" w:after="0"/>
        <w:rPr>
          <w:sz w:val="22"/>
          <w:szCs w:val="22"/>
          <w:lang w:val="en-GB" w:eastAsia="en-US"/>
        </w:rPr>
      </w:pPr>
    </w:p>
    <w:p w:rsidR="001B34EF" w:rsidRPr="00E345FB" w:rsidRDefault="00A73E61" w:rsidP="00E345FB">
      <w:pPr>
        <w:pStyle w:val="IJOPCMBody"/>
        <w:suppressAutoHyphens/>
        <w:spacing w:before="0" w:after="0"/>
        <w:rPr>
          <w:sz w:val="22"/>
          <w:szCs w:val="22"/>
          <w:lang w:val="en-GB" w:eastAsia="en-US"/>
        </w:rPr>
      </w:pPr>
      <w:r w:rsidRPr="00E345FB">
        <w:rPr>
          <w:sz w:val="22"/>
          <w:szCs w:val="22"/>
          <w:lang w:val="en-GB" w:eastAsia="en-US"/>
        </w:rPr>
        <w:t>Experiences are essential in the design thinking process because they can lead to innovative solutions.</w:t>
      </w:r>
      <w:r w:rsidR="0099238F" w:rsidRPr="00E345FB">
        <w:rPr>
          <w:sz w:val="22"/>
          <w:szCs w:val="22"/>
          <w:lang w:val="en-GB" w:eastAsia="en-US"/>
        </w:rPr>
        <w:t xml:space="preserve">According to previous study findings, </w:t>
      </w:r>
      <w:r w:rsidR="00754E1B" w:rsidRPr="00E345FB">
        <w:rPr>
          <w:sz w:val="22"/>
          <w:szCs w:val="22"/>
          <w:lang w:val="en-GB" w:eastAsia="en-US"/>
        </w:rPr>
        <w:t>t</w:t>
      </w:r>
      <w:r w:rsidR="001E0F20" w:rsidRPr="00E345FB">
        <w:rPr>
          <w:sz w:val="22"/>
          <w:szCs w:val="22"/>
          <w:lang w:val="en-GB" w:eastAsia="en-US"/>
        </w:rPr>
        <w:t>he use of design thinking in more expansive frontier learning in digital practice is outlined</w:t>
      </w:r>
      <w:r w:rsidR="00064DD5" w:rsidRPr="00E345FB">
        <w:rPr>
          <w:sz w:val="22"/>
          <w:szCs w:val="22"/>
          <w:lang w:val="en-GB" w:eastAsia="en-US"/>
        </w:rPr>
        <w:fldChar w:fldCharType="begin" w:fldLock="1"/>
      </w:r>
      <w:r w:rsidR="00151CA4" w:rsidRPr="00E345FB">
        <w:rPr>
          <w:sz w:val="22"/>
          <w:szCs w:val="22"/>
          <w:lang w:val="en-GB" w:eastAsia="en-US"/>
        </w:rPr>
        <w:instrText>ADDIN CSL_CITATION {"citationItems":[{"id":"ITEM-1","itemData":{"ISBN":"9781912254026 (ISBN)","abstract":"There is a growing need in contemporary society to understand new and emerging relationships between technology and creativity. In practice-oriented areas of education such as design, many instructors have come to understand the importance of different learning styles and how students benefit when presentation of new material is varied to reach all students. The concept of parametric design thinking enabled by advanced computational processes has recently been identified as a relevant approach to design education. The present research further explores parametric design thinking through two case studies of design workshops in an educational context and how this approach can promote diversity. The first case (Robotised Clay Workshop) documents material exploration and creative and aesthetic possibilities in digitalised clay processes. The second case (Surface Patterns in Textiles: From Tradition to Digitalisation and Back) explores digitalised processes in hybrid textile design. The two case studies contribute to the exploration of parametric design thinking as an educational approach and discuss digitalisation and the relations of body, hand and mind in terms of the Vygotskyan â€˜zone of proximal developmentâ€™. This content was synthesised for a workshop on surface patterns for third-year bachelor design students. The paper identifies some potentials and pitfalls of this pedagogical approach and concludes that studentsâ€™ awareness of conformity and diversity in the design process can be used as a starting point to explore digital surface patterns, offering students a new way of learning about function, aesthetics and product semantics through parametric design thinking. Â© 2018 Institution of Engineering Designers The Design Society. All Rights Reserved.","author":[{"dropping-particle":"","family":"Lyche","given":"W","non-dropping-particle":"","parse-names":false,"suffix":""},{"dropping-particle":"","family":"Berg","given":"A","non-dropping-particle":"","parse-names":false,"suffix":""},{"dropping-particle":"","family":"Andreassen","given":"K","non-dropping-particle":"","parse-names":false,"suffix":""}],"container-title":"20th International Conference on Engineering and Product Design Education, E and PDE 2018","id":"ITEM-1","issued":{"date-parts":[["2018"]]},"note":"Cited By (since 2018): 1","publisher":"Institution of Engineering Designers, The Design Society","title":"Parametric design thinking about digital and material surface patterns","type":"article"},"uris":["http://www.mendeley.com/documents/?uuid=767b4950-b818-4bd7-96e3-351dd2655e73"]},{"id":"ITEM-2","itemData":{"DOI":"10.29333/iji.2022.15159a","ISSN":"13081470","abstract":"The purpose of this study was to investigate the effectiveness of using word clouds in brainstorming on developing design thinking skills through the web environment among Taibah University students in Saudi Arabia, and the degree of design thinking skills among students. The lesson of E-learning course was developed in two different modes, brainstorming via the web and virtual classes. Quasi experimental factorial design was adopted in this research. The independent variables were the two modes of courseware (the mode brainstorming through a word cloud, and the second mode virtual classes). The dependent variables were the design thinking skills. The study sample consisted of 72 students and were randomly (simple random sample) selected from ten classrooms. Descriptive and inferential statistics were conducted to analyse the collected data through the SPSS software. Analyses of covariance (MANCOVA) were performed to examine the main effects of the independent variables (Brainstorming) on the dependent variables (Design thinking skills). The findings of this study showed that students using the brainstorming via the web mode performed significantly better than those in the virtual classes mode. And that the students have a moderate degree of design thinking.","author":[{"dropping-particle":"","family":"Aldalalah","given":"Osamah Mohamad Ameen Ahmad","non-dropping-particle":"","parse-names":false,"suffix":""}],"container-title":"International Journal of Instruction","id":"ITEM-2","issue":"1","issued":{"date-parts":[["2022"]]},"page":"1045-1064","title":"Employment the word cloud in brainstorming via the web and its effectiveness in developing the design thinking skill","type":"article-journal","volume":"15"},"uris":["http://www.mendeley.com/documents/?uuid=862d2d24-1829-4a6d-a59f-37ba64631347"]},{"id":"ITEM-3","itemData":{"DOI":"10.3390/educsci9020113","ISSN":"22277102 (ISSN)","abstract":"In Secondary Education, students need innovative skills and competences that the current education system does not sufficiently offer. Also, educators need pedagogical support to develop teaching to respond to 21st century skills requirements. In order to achieve these goals, an experimental culture of learning needs to be implemented in practice. The aim of this paper is to introduce and pilot a pedagogy for teaching innovation, collaboration, and co-creation in secondary education. The proposed pedagogy is based on a designerly way of thinking, digital competences, and entrepreneurial spirit, together with an experimental culture of creating, making, and collaborating in order to improve studentsâ€™ innovative, co-creative and collaborative way of thinking and making. The main finding is that the proposed pedagogy enhanced innovative, collaborative and co-creative student competences. Moreover, digital and entrepreneurial skills gave the ability to the students to create new valuable products and services. Â© 2019 by the authors. Licensee MDPI, Basel, Switzerland.","author":[{"dropping-particle":"","family":"Androutsos","given":"A","non-dropping-particle":"","parse-names":false,"suffix":""},{"dropping-particle":"","family":"Brinia","given":"V","non-dropping-particle":"","parse-names":false,"suffix":""}],"container-title":"Education Sciences","id":"ITEM-3","issue":"2","issued":{"date-parts":[["2019"]]},"note":"Cited By (since 2019): 17","publisher":"MDPI AG","title":"Developing and piloting a pedagogy for teaching innovation, collaboration, and co-creation in secondary education based on design thinking, digital transformation, and entrepreneurship","type":"article-journal","volume":"9"},"uris":["http://www.mendeley.com/documents/?uuid=d4ed872b-6ecc-4f3e-a561-a06a45313744"]}],"mendeley":{"formattedCitation":"(Aldalalah, 2022; Androutsos &amp; Brinia, 2019; Lyche et al., 2018)","plainTextFormattedCitation":"(Aldalalah, 2022; Androutsos &amp; Brinia, 2019; Lyche et al., 2018)","previouslyFormattedCitation":"(Aldalalah, 2022; Androutsos &amp; Brinia, 2019; Lyche et al., 2018)"},"properties":{"noteIndex":0},"schema":"https://github.com/citation-style-language/schema/raw/master/csl-citation.json"}</w:instrText>
      </w:r>
      <w:r w:rsidR="00064DD5" w:rsidRPr="00E345FB">
        <w:rPr>
          <w:sz w:val="22"/>
          <w:szCs w:val="22"/>
          <w:lang w:val="en-GB" w:eastAsia="en-US"/>
        </w:rPr>
        <w:fldChar w:fldCharType="separate"/>
      </w:r>
      <w:r w:rsidR="00151CA4" w:rsidRPr="00E345FB">
        <w:rPr>
          <w:noProof/>
          <w:sz w:val="22"/>
          <w:szCs w:val="22"/>
          <w:lang w:val="en-GB" w:eastAsia="en-US"/>
        </w:rPr>
        <w:t>(Aldalalah, 2022; Androutsos &amp; Brinia, 2019; Lyche et al., 2018)</w:t>
      </w:r>
      <w:r w:rsidR="00064DD5" w:rsidRPr="00E345FB">
        <w:rPr>
          <w:sz w:val="22"/>
          <w:szCs w:val="22"/>
          <w:lang w:val="en-GB" w:eastAsia="en-US"/>
        </w:rPr>
        <w:fldChar w:fldCharType="end"/>
      </w:r>
      <w:r w:rsidR="001E0F20" w:rsidRPr="00E345FB">
        <w:rPr>
          <w:sz w:val="22"/>
          <w:szCs w:val="22"/>
          <w:lang w:val="en-GB" w:eastAsia="en-US"/>
        </w:rPr>
        <w:t xml:space="preserve">. Alternatively, the growing interest in integrating design thinking into STEM(Science, Technology, Engineering, and Math) education </w:t>
      </w:r>
      <w:r w:rsidR="00497C52" w:rsidRPr="00E345FB">
        <w:rPr>
          <w:sz w:val="22"/>
          <w:szCs w:val="22"/>
          <w:lang w:val="en-GB" w:eastAsia="en-US"/>
        </w:rPr>
        <w:t>greatly impacted</w:t>
      </w:r>
      <w:r w:rsidR="00EB1E23" w:rsidRPr="00E345FB">
        <w:rPr>
          <w:sz w:val="22"/>
          <w:szCs w:val="22"/>
          <w:lang w:val="en-GB" w:eastAsia="en-US"/>
        </w:rPr>
        <w:t xml:space="preserve"> the classroom's physical environment</w:t>
      </w:r>
      <w:r w:rsidR="00064DD5" w:rsidRPr="00E345FB">
        <w:rPr>
          <w:sz w:val="22"/>
          <w:szCs w:val="22"/>
          <w:lang w:val="en-GB" w:eastAsia="en-US"/>
        </w:rPr>
        <w:fldChar w:fldCharType="begin" w:fldLock="1"/>
      </w:r>
      <w:r w:rsidR="00A64C28" w:rsidRPr="00E345FB">
        <w:rPr>
          <w:sz w:val="22"/>
          <w:szCs w:val="22"/>
          <w:lang w:val="en-GB" w:eastAsia="en-US"/>
        </w:rPr>
        <w:instrText>ADDIN CSL_CITATION {"citationItems":[{"id":"ITEM-1","itemData":{"ISSN":"11763647 (ISSN)","abstract":"Design thinking has become increasingly important in the context of the current movement toward integrated STEM education. Allied teaching practices often take the form of project-based learning, which represents a major shift in the teaching and learning process and poses challenges for many teachers during implementation. Many professional development programmes for STEM teachers focus on the development of teacher beliefs and content or technological knowledge. Teachers may not have enough opportunities to gain sufficient knowledge of how to foster studentsâ€™ intrinsic motivation for project-based learning. The teacher-support dimensions â€“ autonomy, structure and involvement â€“ distinguished in self-determination theory (SDT) can foster student motivation, and the teaching experience can allow for feedback and reflection. Accordingly, this study aimed to investigate how to design a PD programme consisting of a workshop and actual teaching experience as a way of using SDT-based design thinking in teaching STEM project-based learning. Specifically, the study comprised two interventions designed to examine how teacher/student learning is affected by workshops alone and actual teaching experience, respectively. The participants were 60 teachers and 358 secondary school students. The findings revealed that it is beneficial for teachers to apply what they learned from workshops in classroom teaching and that SDT-based design thinking benefits students more than non-SDT-based design thinking. Hence, this study suggests that professional development should occur over a sustained period, enhance teacher capacity to support studentsâ€™ needs, and offer multiple opportunities for feedback and reflection. Consequently, a model of pedagogical design thinking for professional development programmes is proposed. Â© 2021","author":[{"dropping-particle":"","family":"Chiu","given":"T K F","non-dropping-particle":"","parse-names":false,"suffix":""},{"dropping-particle":"","family":"Chai","given":"C S","non-dropping-particle":"","parse-names":false,"suffix":""},{"dropping-particle":"","family":"Williams","given":"P J","non-dropping-particle":"","parse-names":false,"suffix":""},{"dropping-particle":"","family":"Lin","given":"T.-J.","non-dropping-particle":"","parse-names":false,"suffix":""}],"container-title":"Educational Technology and Society","id":"ITEM-1","issue":"4","issued":{"date-parts":[["2021"]]},"note":"Cited By (since 2021): 2","page":"153-165","publisher":"International Forum of Educational Technology and Society","title":"Teacher Professional Development on Self-Determination Theoryâ€“Based Design Thinking in STEM Education","type":"article-journal","volume":"24"},"uris":["http://www.mendeley.com/documents/?uuid=9b74b6f1-d6c6-4c18-a5bf-a20f2dc3057a"]},{"id":"ITEM-2","itemData":{"DOI":"10.18848/2327-7971/CGP/V28I01/15-26","ISSN":"23277971 (ISSN)","abstract":"This study aims to explore the effectiveness of a Design Thinking (DT) tool toward special needs education teachers who taught Science, Technology, Engineering, and Mathematics (STEM) subjects at the primary level. The impact of the DT tool was explored in the context of lesson plan design for STEM subjects and in the development of creative skills among the special education teachers. Data were elicited from open-ended interviews involving a group of special education teachers who were chosen among the participants of a DT workshop, which was also conducted by the researchers. The findings revealed that the DT tool helped facilitate the teachers to design and develop suitable STEM teaching activities for students with disabilities to learn the subjects effectively. In addition, the DT tool also facilitated the teachers to unleash their creative skills in the teaching process. From the findings, the use of the DT tool has the potential to create a new teaching paradigm for STEM subjects in special needs education and instilling creative skills among teaching practitioners. Â© 2021 Common Ground Research Networks, Balamuralithara Balakrishnan,. All Rights Reserved.","author":[{"dropping-particle":"","family":"Balakrishnan","given":"B","non-dropping-particle":"","parse-names":false,"suffix":""},{"dropping-particle":"","family":"Azman","given":"M N A","non-dropping-particle":"","parse-names":false,"suffix":""},{"dropping-particle":"","family":"Sharif","given":"A M","non-dropping-particle":"","parse-names":false,"suffix":""},{"dropping-particle":"","family":"Yaacob","given":"M I H","non-dropping-particle":"","parse-names":false,"suffix":""},{"dropping-particle":"","family":"Zain","given":"H H M","non-dropping-particle":"","parse-names":false,"suffix":""},{"dropping-particle":"","family":"Hock","given":"K E","non-dropping-particle":"","parse-names":false,"suffix":""}],"container-title":"International Journal of Science, Mathematics and Technology Learning","id":"ITEM-2","issue":"1","issued":{"date-parts":[["2021"]]},"page":"15-26","publisher":"Common Ground Research Networks","title":"The Effectiveness of a Design Thinking Tool for the Development of Creativity in Teaching STEM Subjects among Special Needs Education Teachers","type":"article-journal","volume":"28"},"uris":["http://www.mendeley.com/documents/?uuid=20c532b2-68c7-41c5-b069-349e35926607"]},{"id":"ITEM-3","itemData":{"DOI":"10.1186/s40561-021-00153-y","ISSN":"21967091","abstract":"This paper proposes an Internet of Things device (IoT)-based ecosystem that can be leveraged to provide children and adolescent students with STEM educational activities. Our framework is general and scalable, covering multi-stakeholder partnerships, learning outcomes, educational program design and technical architecture. We highlight the importance of bringing Data-driven Thinking to the core of the learning environment as it leads to collaborative learning experience and the development of specific STEM skills such as problem-finding and solving, cognitive, analytical thinking, spatial skills, mental manipulation of objects, organization, leadership, management, and so on. A successful case study in Singapore involving tens of thousands of students is presented.","author":[{"dropping-particle":"","family":"Benita","given":"Francisco","non-dropping-particle":"","parse-names":false,"suffix":""},{"dropping-particle":"","family":"Virupaksha","given":"Darshan","non-dropping-particle":"","parse-names":false,"suffix":""},{"dropping-particle":"","family":"Wilhelm","given":"Erik","non-dropping-particle":"","parse-names":false,"suffix":""},{"dropping-particle":"","family":"Tunçer","given":"Bige","non-dropping-particle":"","parse-names":false,"suffix":""}],"container-title":"Smart Learning Environments","id":"ITEM-3","issue":"1","issued":{"date-parts":[["2021"]]},"publisher":"Smart Learning Environments","title":"A smart learning ecosystem design for delivering Data-driven Thinking in STEM education","type":"article-journal","volume":"8"},"uris":["http://www.mendeley.com/documents/?uuid=35026a92-f375-4284-9435-dedc562e1d5f"]}],"mendeley":{"formattedCitation":"(Balakrishnan et al., 2021; Benita et al., 2021; Chiu et al., 2021)","plainTextFormattedCitation":"(Balakrishnan et al., 2021; Benita et al., 2021; Chiu et al., 2021)","previouslyFormattedCitation":"(Balakrishnan et al., 2021; Benita et al., 2021; Chiu et al., 2021)"},"properties":{"noteIndex":0},"schema":"https://github.com/citation-style-language/schema/raw/master/csl-citation.json"}</w:instrText>
      </w:r>
      <w:r w:rsidR="00064DD5" w:rsidRPr="00E345FB">
        <w:rPr>
          <w:sz w:val="22"/>
          <w:szCs w:val="22"/>
          <w:lang w:val="en-GB" w:eastAsia="en-US"/>
        </w:rPr>
        <w:fldChar w:fldCharType="separate"/>
      </w:r>
      <w:r w:rsidR="00A64C28" w:rsidRPr="00E345FB">
        <w:rPr>
          <w:noProof/>
          <w:sz w:val="22"/>
          <w:szCs w:val="22"/>
          <w:lang w:val="en-GB" w:eastAsia="en-US"/>
        </w:rPr>
        <w:t>(Balakrishnan et al., 2021; Benita et al., 2021; Chiu et al., 2021)</w:t>
      </w:r>
      <w:r w:rsidR="00064DD5" w:rsidRPr="00E345FB">
        <w:rPr>
          <w:sz w:val="22"/>
          <w:szCs w:val="22"/>
          <w:lang w:val="en-GB" w:eastAsia="en-US"/>
        </w:rPr>
        <w:fldChar w:fldCharType="end"/>
      </w:r>
      <w:r w:rsidR="001E0F20" w:rsidRPr="00E345FB">
        <w:rPr>
          <w:sz w:val="22"/>
          <w:szCs w:val="22"/>
          <w:lang w:val="en-GB" w:eastAsia="en-US"/>
        </w:rPr>
        <w:t>.</w:t>
      </w:r>
      <w:r w:rsidR="008524AD" w:rsidRPr="00E345FB">
        <w:rPr>
          <w:sz w:val="22"/>
          <w:szCs w:val="22"/>
        </w:rPr>
        <w:t>The type of related teaching approach is problem-based learning and project-based learning</w:t>
      </w:r>
      <w:r w:rsidR="00064DD5" w:rsidRPr="00E345FB">
        <w:rPr>
          <w:sz w:val="22"/>
          <w:szCs w:val="22"/>
        </w:rPr>
        <w:fldChar w:fldCharType="begin" w:fldLock="1"/>
      </w:r>
      <w:r w:rsidR="00386844" w:rsidRPr="00E345FB">
        <w:rPr>
          <w:sz w:val="22"/>
          <w:szCs w:val="22"/>
        </w:rPr>
        <w:instrText>ADDIN CSL_CITATION {"citationItems":[{"id":"ITEM-1","itemData":{"DOI":"10.1109/FIE.2014.7044081","ISBN":"15394565 (ISSN)","abstract":"Design thinking plays a critical role in educating a new class of engineers who can create a better society by innovating products &amp;amp; services that solve real world problems. Field research including interviews with several key academicians and technocrats reveal several short comings amongst engineering graduates in India. Addressing the above concerns and building upon literature, a framework is proposed for a recently established engineering institute in India. This framework is applied to structure the curriculum for Bachelors of Technology in Information Communication and Technology (B Tech-ICT). This framework integrates design thinking as a core subject in the 1st year via project based engineering and promotes new product development. This paper describes an innovative curriculum structured to teach design (User centered design UCD1 &amp;amp; 2) as a core course to 1st year B Tech-ICT students. A comparative study of student performance between two semesters indicates an improvement in problem identification, design research and new product development skills. Anonymous student feedback from students for the design courses supports the above finding. The paper discusses the success and challenges of introducing design education to engineering students and identifies social barriers restricting innovative thinking. This paper provided building blocks for educators to teach design thinking for inculcating innovative thinking in engineering students. Â© 2014 IEEE.","author":[{"dropping-particle":"","family":"Parmar","given":"A J","non-dropping-particle":"","parse-names":false,"suffix":""}],"container-title":"44th Annual Frontiers in Education Conference, FIE 2014","id":"ITEM-1","issued":{"date-parts":[["2015"]]},"note":"Cited By (since 2015): 1","publisher":"Institute of Electrical and Electronics Engineers Inc.","title":"Bridging gaps in engineering education: Design thinking a critical factor for project based learning","type":"article","volume":"2015"},"uris":["http://www.mendeley.com/documents/?uuid=1a2d13df-29c4-4ca2-a7df-af52d5c106db"]},{"id":"ITEM-2","itemData":{"DOI":"10.1109/TIDMS.2013.6981258","ISBN":"9781479915392 (ISBN)","abstract":"This paper studies two master -level project courses in two universities that use design thinking processes and problem-based learning as the main educational approach in the courses in question. One of the courses has been under development since 1969 and another one was launched during 2012. Both are interdisciplinary and multicultural by nature and have an ill-defined and open-ended real-life problem setting. In this paper we examine the two courses impact on the learning results concerning working life skills such as communication skills, teamwork, design thinking, problem solving and an entrepreneurial mindset. We also seek to understand how these findings relate to design thinking and problem-based learning theories. For data gathering we used semi-structured interviews, study journals and surveys. The data is analyzed and first divided into themes, which are then further analyzed. Research method is close to grounded theory. Altogether 15 alumni and 10 students were interviewed from three different nationalities. We can conclude that in both course structures the students go through a significant learning process that involves learning from the areas of: 1. Communications, team dynamics, cross-cultural, and multiple disciplinarity2. Self-discovery, personal growth and team based group work3. Design process, prototyping, testing and decision-making4. Attitude for failing, entrepreneurshipThe depth and intensity of the learning process is closely linked to the commitment and time spent in the course. These findings are the same irrespective which of the courses is in question. There are clear differences as well. The understanding of the need for pragmatic prototyping and tolerance towards ambiguity is greater in other of the courses, namely the older one. This can be partly explained by more tested coaching methods and more mature structure of the course. This research is limited to student and teacher perspective of the learning results mentioned above. Industry, university administration and other stakeholder opinions and perspectives are not in the scope of this paper. One limiting factor for the analysis is also the fact that all of the authors are somehow linked in to the courses in question. Â© 2013 IEEE.","author":[{"dropping-particle":"","family":"Taajamaa","given":"V","non-dropping-particle":"","parse-names":false,"suffix":""},{"dropping-particle":"","family":"Kirjavainen","given":"S","non-dropping-particle":"","parse-names":false,"suffix":""},{"dropping-particle":"","family":"Repokari","given":"L","non-dropping-particle":"","parse-names":false,"suffix":""},{"dropping-particle":"","family":"Sjoman","given":"H","non-dropping-particle":"","parse-names":false,"suffix":""},{"dropping-particle":"","family":"Utriainen","given":"T","non-dropping-particle":"","parse-names":false,"suffix":""},{"dropping-particle":"","family":"Salakoski","given":"T","non-dropping-particle":"","parse-names":false,"suffix":""}],"container-title":"2013 IEEE-Tsinghua International Design Management Symposium, TIDMS 2013","id":"ITEM-2","issued":{"date-parts":[["2014"]]},"note":"Cited By (since 2014): 17","page":"353-360","publisher":"Institute of Electrical and Electronics Engineers Inc.","title":"Dancing with ambiguity design thinking in interdisciplinary engineering education","type":"article"},"uris":["http://www.mendeley.com/documents/?uuid=376d1f19-b733-49d4-9000-6924727f7a21"]},{"id":"ITEM-3","itemData":{"DOI":"10.1007/978-3-030-91540-7_57","ISBN":"03029743 (ISSN); 9783030915391 (ISBN)","abstract":"The underrepresentation of women in science, technology, engineering, art, and mathematics (STEAM)-related fields remains a concern for educators and the engineering community. Females tend to need more social support and learn better within a group. Using Project-based Learning (PjBL) seems to provide a supportive approach for female students to engage with STEAM. We adopted IDEOâ€™s design process to evaluate the progress both female and male students made after participating in a PjBL-STEAM course. 137 high school students were recruited in this course to tackle the task to build a truss tower. Both female and male students evidenced significant progress in all constructs of engineering design thinking ability. In addition, there was no significant difference between female and male studentsâ€™ posttest result. Our research echoes earlier research that female students can benefit from group work and develop substantial learning outcomes from PjBL-STEAM course. Â© 2021, Springer Nature Switzerland AG.","author":[{"dropping-particle":"","family":"Yen","given":"W.-H.","non-dropping-particle":"","parse-names":false,"suffix":""},{"dropping-particle":"","family":"Chang","given":"C.-C.","non-dropping-particle":"","parse-names":false,"suffix":""},{"dropping-particle":"","family":"Willliams","given":"J","non-dropping-particle":"","parse-names":false,"suffix":""}],"container-title":"4th International Conference on Innovative Technologies and Learning, ICITL 2021","id":"ITEM-3","issued":{"date-parts":[["2021"]]},"page":"557-566","publisher":"Springer Science and Business Media Deutschland GmbH","title":"Gender Differences in Engineering Design Thinking in a Project-Based STEAM Course","type":"article","volume":"13117"},"uris":["http://www.mendeley.com/documents/?uuid=efc53909-e55c-4f0d-b66c-86b250fd59a2"]}],"mendeley":{"formattedCitation":"(Parmar, 2015; Taajamaa et al., 2014; Yen et al., 2021)","plainTextFormattedCitation":"(Parmar, 2015; Taajamaa et al., 2014; Yen et al., 2021)","previouslyFormattedCitation":"(Parmar, 2015; Taajamaa et al., 2014; Yen et al., 2021)"},"properties":{"noteIndex":0},"schema":"https://github.com/citation-style-language/schema/raw/master/csl-citation.json"}</w:instrText>
      </w:r>
      <w:r w:rsidR="00064DD5" w:rsidRPr="00E345FB">
        <w:rPr>
          <w:sz w:val="22"/>
          <w:szCs w:val="22"/>
        </w:rPr>
        <w:fldChar w:fldCharType="separate"/>
      </w:r>
      <w:r w:rsidR="00A64C28" w:rsidRPr="00E345FB">
        <w:rPr>
          <w:noProof/>
          <w:sz w:val="22"/>
          <w:szCs w:val="22"/>
        </w:rPr>
        <w:t>(Parmar, 2015; Taajamaa et al., 2014; Yen et al., 2021)</w:t>
      </w:r>
      <w:r w:rsidR="00064DD5" w:rsidRPr="00E345FB">
        <w:rPr>
          <w:sz w:val="22"/>
          <w:szCs w:val="22"/>
        </w:rPr>
        <w:fldChar w:fldCharType="end"/>
      </w:r>
      <w:r w:rsidR="008524AD" w:rsidRPr="00E345FB">
        <w:rPr>
          <w:sz w:val="22"/>
          <w:szCs w:val="22"/>
        </w:rPr>
        <w:t xml:space="preserve">. Some STEM teacher professional development programs emphasize developing teacher beliefs as they do develop material or technological competency. Many recent studies in the field of design thinking suggest that it can help teachers improve their ability to utilize innovation and creativity in the classroom has been strengthened to achieve </w:t>
      </w:r>
      <w:r w:rsidR="008524AD" w:rsidRPr="00E345FB">
        <w:rPr>
          <w:sz w:val="22"/>
          <w:szCs w:val="22"/>
        </w:rPr>
        <w:lastRenderedPageBreak/>
        <w:t>education 4.0 goals</w:t>
      </w:r>
      <w:r w:rsidR="00064DD5" w:rsidRPr="00E345FB">
        <w:rPr>
          <w:sz w:val="22"/>
          <w:szCs w:val="22"/>
        </w:rPr>
        <w:fldChar w:fldCharType="begin" w:fldLock="1"/>
      </w:r>
      <w:r w:rsidR="007A57F3" w:rsidRPr="00E345FB">
        <w:rPr>
          <w:sz w:val="22"/>
          <w:szCs w:val="22"/>
        </w:rPr>
        <w:instrText>ADDIN CSL_CITATION {"citationItems":[{"id":"ITEM-1","itemData":{"DOI":"10.1016/j.tsc.2020.100655","ISSN":"18711871 (ISSN)","abstract":"Globally, a critical debate about multiliteraciesâ€™ teaching in early childhood education is intensifying. Teachers and researchers worldwide are rethinking â€˜multiliteracies pedagogyâ€™ and â€˜multiliterate learning environmentsâ€™ to design innovative and meaningful educational spaces for young children. They pursue to better account for the role (and entanglement) of spaces, places, materiality, bodies, and power in early childhood education pedagogies. Multiliterate learning environments research offers the possibility to reconceptualize early childhood classrooms as real sites of thinking revolution and unique spaces for theorizing new contours of literacy pedagogy. This study explored and elicited early childhood teachersâ€™ thinking and making multiliterate learning environments, with an ethnographic approach. We designed a single-case study emplaced in a university's laboratory preschool. The participant observation took place for five months and had two different outspreading moments. First, to explore and familiarize with the preschool culture and to penetrate the learning environment codes, and the second, to produce ethnographic data collaboratively with in-depth interviews. Findings show that teachersâ€™ design thinking process is culturally situated and â€˜child interest- driven,â€™ enabling some child agency in spatial meaning-making as co-authors of the multiliterate learning environments they inhabit. The design thinking process unfolds through an ongoing iterative and collaborative four-phased-cycle. Teachers ideate and reflect on multiliteracies and place-making decisions that materialize learning environments based on the world of children. While making multiliterate environments through this spatial design thinking process, teachers are empowered as designers and as makers of a â€˜third teacher,â€™ where a wide-ranging diversity of people, texts, practices, meanings, and cultural contexts intersect to build communication. Â© 2020 Elsevier Ltd","author":[{"dropping-particle":"","family":"Loyola","given":"C CortÃ©s","non-dropping-particle":"","parse-names":false,"suffix":""},{"dropping-particle":"","family":"Grimberg","given":"C Adlerstein","non-dropping-particle":"","parse-names":false,"suffix":""},{"dropping-particle":"","family":"Colomer","given":"Ãš. Bravo","non-dropping-particle":"","parse-names":false,"suffix":""}],"container-title":"Thinking Skills and Creativity","id":"ITEM-1","issued":{"date-parts":[["2020"]]},"note":"Cited By (since 2020): 4","publisher":"Elsevier Ltd","title":"Early childhood teachers making multiliterate learning environments: The emergence of a spatial design thinking process","type":"article-journal","volume":"36"},"uris":["http://www.mendeley.com/documents/?uuid=3a5619db-3f87-4e6b-98c2-38519b858ad1"]}],"mendeley":{"formattedCitation":"(Loyola et al., 2020)","manualFormatting":"(Loyola et al., 2020","plainTextFormattedCitation":"(Loyola et al., 2020)","previouslyFormattedCitation":"(Loyola et al., 2020)"},"properties":{"noteIndex":0},"schema":"https://github.com/citation-style-language/schema/raw/master/csl-citation.json"}</w:instrText>
      </w:r>
      <w:r w:rsidR="00064DD5" w:rsidRPr="00E345FB">
        <w:rPr>
          <w:sz w:val="22"/>
          <w:szCs w:val="22"/>
        </w:rPr>
        <w:fldChar w:fldCharType="separate"/>
      </w:r>
      <w:r w:rsidR="007A57F3" w:rsidRPr="00E345FB">
        <w:rPr>
          <w:noProof/>
          <w:sz w:val="22"/>
          <w:szCs w:val="22"/>
        </w:rPr>
        <w:t>(Loyola et al., 2020</w:t>
      </w:r>
      <w:r w:rsidR="00064DD5" w:rsidRPr="00E345FB">
        <w:rPr>
          <w:sz w:val="22"/>
          <w:szCs w:val="22"/>
        </w:rPr>
        <w:fldChar w:fldCharType="end"/>
      </w:r>
      <w:r w:rsidR="007A57F3" w:rsidRPr="00E345FB">
        <w:rPr>
          <w:sz w:val="22"/>
          <w:szCs w:val="22"/>
        </w:rPr>
        <w:t>;</w:t>
      </w:r>
      <w:r w:rsidR="00064DD5" w:rsidRPr="00E345FB">
        <w:rPr>
          <w:sz w:val="22"/>
          <w:szCs w:val="22"/>
        </w:rPr>
        <w:fldChar w:fldCharType="begin" w:fldLock="1"/>
      </w:r>
      <w:r w:rsidR="007A57F3" w:rsidRPr="00E345FB">
        <w:rPr>
          <w:sz w:val="22"/>
          <w:szCs w:val="22"/>
        </w:rPr>
        <w:instrText>ADDIN CSL_CITATION {"citationItems":[{"id":"ITEM-1","itemData":{"DOI":"10.1007/s11528-020-00573-6","ISSN":"87563894 (ISSN)","abstract":"This study discusses a design-thinking approach for a virtual exchange intended to introduce pre-service teachers to global collaboration and empowered learning through the use of educational technology. Principles of design-thinking (i.e., empathy, ideation, and testing) were aligned with broader educational goals of culturally responsive practices and metacognition. Findings suggested that participants in the study (nÂ = 36), pre-service teachers in the US, drew on individual strengths, cosmopolitan interests in global partnership, and problem-solving strategies to leverage educational technology to achieve learning goals. This paper contributes valuable insights, and recommendations for practice, about how to conduct virtual exchanges in higher education and K-12 learning settings. Â© 2020, Association for Educational Communications &amp; Technology.","author":[{"dropping-particle":"","family":"Gleason","given":"B","non-dropping-particle":"","parse-names":false,"suffix":""},{"dropping-particle":"","family":"Cherrez","given":"N Jaramillo","non-dropping-particle":"","parse-names":false,"suffix":""}],"container-title":"TechTrends","id":"ITEM-1","issue":"3","issued":{"date-parts":[["2021"]]},"note":"Cited By (since 2021): 2","page":"348-358","publisher":"Springer","title":"Design Thinking Approach to Global Collaboration and Empowered Learning: Virtual Exchange as Innovation in a Teacher Education Course","type":"article-journal","volume":"65"},"uris":["http://www.mendeley.com/documents/?uuid=4d75c236-21b7-4b68-8ac6-2be7b2061e26"]},{"id":"ITEM-2","itemData":{"DOI":"10.1016/j.tsc.2020.100655","ISSN":"18711871 (ISSN)","abstract":"Globally, a critical debate about multiliteraciesâ€™ teaching in early childhood education is intensifying. Teachers and researchers worldwide are rethinking â€˜multiliteracies pedagogyâ€™ and â€˜multiliterate learning environmentsâ€™ to design innovative and meaningful educational spaces for young children. They pursue to better account for the role (and entanglement) of spaces, places, materiality, bodies, and power in early childhood education pedagogies. Multiliterate learning environments research offers the possibility to reconceptualize early childhood classrooms as real sites of thinking revolution and unique spaces for theorizing new contours of literacy pedagogy. This study explored and elicited early childhood teachersâ€™ thinking and making multiliterate learning environments, with an ethnographic approach. We designed a single-case study emplaced in a university's laboratory preschool. The participant observation took place for five months and had two different outspreading moments. First, to explore and familiarize with the preschool culture and to penetrate the learning environment codes, and the second, to produce ethnographic data collaboratively with in-depth interviews. Findings show that teachersâ€™ design thinking process is culturally situated and â€˜child interest- driven,â€™ enabling some child agency in spatial meaning-making as co-authors of the multiliterate learning environments they inhabit. The design thinking process unfolds through an ongoing iterative and collaborative four-phased-cycle. Teachers ideate and reflect on multiliteracies and place-making decisions that materialize learning environments based on the world of children. While making multiliterate environments through this spatial design thinking process, teachers are empowered as designers and as makers of a â€˜third teacher,â€™ where a wide-ranging diversity of people, texts, practices, meanings, and cultural contexts intersect to build communication. Â© 2020 Elsevier Ltd","author":[{"dropping-particle":"","family":"Loyola","given":"C CortÃ©s","non-dropping-particle":"","parse-names":false,"suffix":""},{"dropping-particle":"","family":"Grimberg","given":"C Adlerstein","non-dropping-particle":"","parse-names":false,"suffix":""},{"dropping-particle":"","family":"Colomer","given":"Ãš. Bravo","non-dropping-particle":"","parse-names":false,"suffix":""}],"container-title":"Thinking Skills and Creativity","id":"ITEM-2","issued":{"date-parts":[["2020"]]},"note":"Cited By (since 2020): 4","publisher":"Elsevier Ltd","title":"Early childhood teachers making multiliterate learning environments: The emergence of a spatial design thinking process","type":"article-journal","volume":"36"},"uris":["http://www.mendeley.com/documents/?uuid=3a5619db-3f87-4e6b-98c2-38519b858ad1"]}],"mendeley":{"formattedCitation":"(Gleason &amp; Cherrez, 2021; Loyola et al., 2020)","manualFormatting":"B Gleason &amp; Cherrez, 2021;)","plainTextFormattedCitation":"(Gleason &amp; Cherrez, 2021; Loyola et al., 2020)","previouslyFormattedCitation":"(Gleason &amp; Cherrez, 2021; Loyola et al., 2020)"},"properties":{"noteIndex":0},"schema":"https://github.com/citation-style-language/schema/raw/master/csl-citation.json"}</w:instrText>
      </w:r>
      <w:r w:rsidR="00064DD5" w:rsidRPr="00E345FB">
        <w:rPr>
          <w:sz w:val="22"/>
          <w:szCs w:val="22"/>
        </w:rPr>
        <w:fldChar w:fldCharType="separate"/>
      </w:r>
      <w:r w:rsidR="00386844" w:rsidRPr="00E345FB">
        <w:rPr>
          <w:noProof/>
          <w:sz w:val="22"/>
          <w:szCs w:val="22"/>
        </w:rPr>
        <w:t>B Gleason &amp; Cherrez, 2021)</w:t>
      </w:r>
      <w:r w:rsidR="00064DD5" w:rsidRPr="00E345FB">
        <w:rPr>
          <w:sz w:val="22"/>
          <w:szCs w:val="22"/>
        </w:rPr>
        <w:fldChar w:fldCharType="end"/>
      </w:r>
      <w:r w:rsidR="008524AD" w:rsidRPr="00E345FB">
        <w:rPr>
          <w:sz w:val="22"/>
          <w:szCs w:val="22"/>
        </w:rPr>
        <w:t xml:space="preserve">. As highlighted by the </w:t>
      </w:r>
      <w:r w:rsidR="00064DD5" w:rsidRPr="00E345FB">
        <w:rPr>
          <w:sz w:val="22"/>
          <w:szCs w:val="22"/>
        </w:rPr>
        <w:fldChar w:fldCharType="begin" w:fldLock="1"/>
      </w:r>
      <w:r w:rsidR="00151CA4" w:rsidRPr="00E345FB">
        <w:rPr>
          <w:sz w:val="22"/>
          <w:szCs w:val="22"/>
        </w:rPr>
        <w:instrText>ADDIN CSL_CITATION {"citationItems":[{"id":"ITEM-1","itemData":{"DOI":"10.1007/978-3-030-78825-4_13","ISBN":"21997373 (ISSN)","abstract":"Design thinking, which emphasizes usersâ€™ needs and rapid prototyping, is a promising avenue in the field of sustainability. Used by international organizations such as IDEO.org and d.School, design thinking has yielded promising results in terms of sustainability solutions. Employed at strategic moments during the design thinking process, digital tools (ICT) can also facilitate the collaborative and co-constructive aspects of this approach to problem solving. Adults from four case studies worked on different problems, from adapting the University of Ottawa campus to international studentsâ€™ needs, to improving a drinking water problem in Quebec City, to adapting in the face of flooding in Morocco and to decontaminating of groundwater in a New Brunswick village. The researchers studied the affordances (perceived potentialities) of design thinking and collaborative digital tools (Facebook, Realtime Board, Knowledge Forum) during the process of solving of each case study problem. Interviews (individual and group) as well as evidence of participantsâ€™ online work were used to identify several affordances of design thinking, namely broader understanding of a problem, awareness, identification of end usersâ€™ real needs, caring towards users, production of multiple appropriate solutions and development of problem-solving skills. Different types of ICT have been employed to provide a remote support for participants at the various stages of design thinking: Facebook to share images of environmental problems and proposed solutions, Realtime Board to visualize a problem and to remember its details, and Knowledge Forum to analyze a problem more deeply and facilitate discussion around suggested solutions and prototypes. Â© 2021, The Author(s), under exclusive license to Springer Nature Switzerland AG.","author":[{"dropping-particle":"","family":"Pruneau","given":"D","non-dropping-particle":"","parse-names":false,"suffix":""},{"dropping-particle":"","family":"Freiman","given":"V","non-dropping-particle":"","parse-names":false,"suffix":""},{"dropping-particle":"","family":"LÃ©ger","given":"M T","non-dropping-particle":"","parse-names":false,"suffix":""},{"dropping-particle":"","family":"Dionne","given":"L","non-dropping-particle":"","parse-names":false,"suffix":""},{"dropping-particle":"","family":"Richard","given":"V","non-dropping-particle":"","parse-names":false,"suffix":""},{"dropping-particle":"","family":"Laroche","given":"A.-M.","non-dropping-particle":"","parse-names":false,"suffix":""}],"container-title":"World Sustainability Series","id":"ITEM-1","issued":{"date-parts":[["2021"]]},"page":"207-226","publisher":"Springer Science and Business Media Deutschland GmbH","title":"Design Thinking and Collaborative Digital Platforms: Innovative Tools for Co-creating Sustainability Solutions","type":"article"},"uris":["http://www.mendeley.com/documents/?uuid=297af0fd-e898-4d1d-b8ba-b8e9d1e7f0d3"]}],"mendeley":{"formattedCitation":"(Pruneau et al., 2021)","manualFormatting":"Pruneau et al., (2021)","plainTextFormattedCitation":"(Pruneau et al., 2021)","previouslyFormattedCitation":"(Pruneau et al., 2021)"},"properties":{"noteIndex":0},"schema":"https://github.com/citation-style-language/schema/raw/master/csl-citation.json"}</w:instrText>
      </w:r>
      <w:r w:rsidR="00064DD5" w:rsidRPr="00E345FB">
        <w:rPr>
          <w:sz w:val="22"/>
          <w:szCs w:val="22"/>
        </w:rPr>
        <w:fldChar w:fldCharType="separate"/>
      </w:r>
      <w:r w:rsidR="00151CA4" w:rsidRPr="00E345FB">
        <w:rPr>
          <w:noProof/>
          <w:sz w:val="22"/>
          <w:szCs w:val="22"/>
        </w:rPr>
        <w:t>Pruneau et al. (2021)</w:t>
      </w:r>
      <w:r w:rsidR="00064DD5" w:rsidRPr="00E345FB">
        <w:rPr>
          <w:sz w:val="22"/>
          <w:szCs w:val="22"/>
        </w:rPr>
        <w:fldChar w:fldCharType="end"/>
      </w:r>
      <w:r w:rsidR="008524AD" w:rsidRPr="00E345FB">
        <w:rPr>
          <w:sz w:val="22"/>
          <w:szCs w:val="22"/>
        </w:rPr>
        <w:t>, design thinking is also considered an innovative problem-solving method. Design Thinking seems to have the potential to transform children's creativity, problem-solving skills, and collaborative work in the classroom</w:t>
      </w:r>
      <w:r w:rsidR="00064DD5" w:rsidRPr="00E345FB">
        <w:rPr>
          <w:sz w:val="22"/>
          <w:szCs w:val="22"/>
        </w:rPr>
        <w:fldChar w:fldCharType="begin" w:fldLock="1"/>
      </w:r>
      <w:r w:rsidR="009412D4" w:rsidRPr="00E345FB">
        <w:rPr>
          <w:sz w:val="22"/>
          <w:szCs w:val="22"/>
        </w:rPr>
        <w:instrText>ADDIN CSL_CITATION {"citationItems":[{"id":"ITEM-1","itemData":{"DOI":"10.1007/978-3-319-07482-5_1","ISBN":"03029743 (ISSN); 9783319074818 (ISBN)","abstract":"In this work we present a teaching support action - Course Sprint - for the design and implementation of a course in a new virtual classroom. A Course Sprint is an intense and collaborative activity that brings together educators and instructional designers experts in teaching and learning technologies. The main objective is to create or redesign a set of learning activities considering the defined learning objectives and competences in the teaching program using creative thinking. The need of such an activity originated with the deployment of a new learning environment: how to get teachers to adopt this updated virtual environment for teaching and learning? The new classroom is activity-centered as opposed to calendar-centered and, therefore, requires teachers to change the design of the course and the learning activities. Â© 2014 Springer International Publishing.","author":[{"dropping-particle":"","family":"Aguado","given":"G","non-dropping-particle":"","parse-names":false,"suffix":""},{"dropping-particle":"","family":"FernÃ¡ndez","given":"C","non-dropping-particle":"","parse-names":false,"suffix":""},{"dropping-particle":"","family":"Garreta-Domingo","given":"M","non-dropping-particle":"","parse-names":false,"suffix":""},{"dropping-particle":"","family":"Griset","given":"R","non-dropping-particle":"","parse-names":false,"suffix":""},{"dropping-particle":"","family":"Valls","given":"A","non-dropping-particle":"","parse-names":false,"suffix":""}],"container-title":"1st International Conference on Learning and Collaboration Technologies, LCT 2014 - Held as Part of 16th International Conference on Human-Computer Interaction, HCI International 2014","id":"ITEM-1","issued":{"date-parts":[["2014"]]},"note":"Cited By (since 2014): 1","page":"3-12","publisher":"Springer Verlag","title":"Course sprints: Combining teacher training, design thinking and hackathons","type":"article","volume":"8523"},"uris":["http://www.mendeley.com/documents/?uuid=989ed3ae-487b-4b8b-b56d-565f18981b6a"]},{"id":"ITEM-2","itemData":{"DOI":"10.1109/TALE48000.2019.9225911","ISBN":"9781728126654 (ISBN)","abstract":"The Asia-Pacific region has been dominating the global video game market for years. In recent years, an increasing number of Indonesia students are turning their interest to study in Taiwan. However, Chinese education in Indonesia is fundamentally based on studies of Mainland China, therefore lacking opportunities for students to understand profoundly Taiwan's language and culture. Furthermore, there is a lack of opportunities for students to understand game design power and industry in Taiwan. The purpose of this on-going program (2014-recent) is to enhance the understanding of game and animation design education in Taiwan, through exchanges with students in Indonesia. It aims to promote exchanges between the faculty and students at the universities with faculties, lecturers and artists in Taiwan for collaborative work, especially in game art design, game engine and animation. It sincerely hopes that students could understand profoundly Taiwan's language and culture by game and animation online tutorials, and provide opportunities for students to understand game design power and industry in Taiwan, Indonesia, and worldwide market. After a year of implementing the four points mentioned in this article, we have already observed some evident outcome. The biggest achievement comes from the workshop which has received significant responses and an increasing number of attendances from both Taiwan and Indonesia. In the near future, it hopes that we can hold a public event such as lecture, workshop and exhibition to raise awareness of and develop an affinity with Taiwanese langue and culture among the general public using the design thinking approach for computational creativity, such as co-design Taiwan language on-line course or game-based learning. Â© 2019 IEEE.","author":[{"dropping-particle":"","family":"Chen","given":"T.-K.","non-dropping-particle":"","parse-names":false,"suffix":""},{"dropping-particle":"","family":"Chowanda","given":"A","non-dropping-particle":"","parse-names":false,"suffix":""},{"dropping-particle":"","family":"Udjaja","given":"Y","non-dropping-particle":"","parse-names":false,"suffix":""},{"dropping-particle":"","family":"Fang","given":"H.-L.","non-dropping-particle":"","parse-names":false,"suffix":""}],"container-title":"2019 IEEE International Conference on Engineering, Technology and Education, TALE 2019","id":"ITEM-2","issued":{"date-parts":[["2019"]]},"publisher":"Institute of Electrical and Electronics Engineers Inc.","title":"Design Thinking for Computational Creativity - A Case Study of International Exchanges Using Game and Animation (2014-Recent)","type":"article"},"uris":["http://www.mendeley.com/documents/?uuid=74c5138a-4382-4156-bcd2-994297b6c9b7"]},{"id":"ITEM-3","itemData":{"DOI":"10.1145/3380851.3416750","ISBN":"9781450375252 (ISBN)","abstract":"This extended abstract presents the results of an empirical study that details how two web design companies use design thinking (DT) as a user-centered, collaborative, and recursive process to design websites for clients and users. The study finds that DT works as an effective process for designing websites and is particularly effective at uncovering user pain points and generating innovative solutions to address those problems. Â© 2020 Owner/Author.","author":[{"dropping-particle":"","family":"Pellegrini","given":"M","non-dropping-particle":"","parse-names":false,"suffix":""}],"container-title":"38th ACM International Conference on Design of Communication, SIGDOC 2020","id":"ITEM-3","issued":{"date-parts":[["2020"]]},"publisher":"Association for Computing Machinery, Inc","title":"The intersection of design thinking and website creation: Findings from two case studies","type":"article"},"uris":["http://www.mendeley.com/documents/?uuid=81da9a0f-099c-4958-b0f7-688e7bf1645d"]}],"mendeley":{"formattedCitation":"(Aguado et al., 2014; Chen et al., 2019; Pellegrini, 2020)","plainTextFormattedCitation":"(Aguado et al., 2014; Chen et al., 2019; Pellegrini, 2020)","previouslyFormattedCitation":"(Aguado et al., 2014; Chen et al., 2019; Pellegrini, 2020)"},"properties":{"noteIndex":0},"schema":"https://github.com/citation-style-language/schema/raw/master/csl-citation.json"}</w:instrText>
      </w:r>
      <w:r w:rsidR="00064DD5" w:rsidRPr="00E345FB">
        <w:rPr>
          <w:sz w:val="22"/>
          <w:szCs w:val="22"/>
        </w:rPr>
        <w:fldChar w:fldCharType="separate"/>
      </w:r>
      <w:r w:rsidR="007A57F3" w:rsidRPr="00E345FB">
        <w:rPr>
          <w:noProof/>
          <w:sz w:val="22"/>
          <w:szCs w:val="22"/>
        </w:rPr>
        <w:t>(Aguado et al., 2014; Chen et al., 2019; Pellegrini, 2020)</w:t>
      </w:r>
      <w:r w:rsidR="00064DD5" w:rsidRPr="00E345FB">
        <w:rPr>
          <w:sz w:val="22"/>
          <w:szCs w:val="22"/>
        </w:rPr>
        <w:fldChar w:fldCharType="end"/>
      </w:r>
      <w:r w:rsidR="008524AD" w:rsidRPr="00E345FB">
        <w:rPr>
          <w:sz w:val="22"/>
          <w:szCs w:val="22"/>
        </w:rPr>
        <w:t>.</w:t>
      </w:r>
    </w:p>
    <w:p w:rsidR="001B34EF" w:rsidRPr="00E345FB" w:rsidRDefault="001B34EF" w:rsidP="00E345FB">
      <w:pPr>
        <w:pStyle w:val="IJOPCMBody"/>
        <w:suppressAutoHyphens/>
        <w:spacing w:before="0" w:after="0"/>
        <w:rPr>
          <w:sz w:val="22"/>
          <w:szCs w:val="22"/>
        </w:rPr>
      </w:pPr>
    </w:p>
    <w:p w:rsidR="0031540E" w:rsidRPr="00E345FB" w:rsidRDefault="001B34EF" w:rsidP="00E345FB">
      <w:pPr>
        <w:pStyle w:val="IJOPCMBody"/>
        <w:suppressAutoHyphens/>
        <w:spacing w:before="0" w:after="0"/>
        <w:rPr>
          <w:sz w:val="22"/>
          <w:szCs w:val="22"/>
        </w:rPr>
      </w:pPr>
      <w:r w:rsidRPr="00E345FB">
        <w:rPr>
          <w:sz w:val="22"/>
          <w:szCs w:val="22"/>
          <w:lang w:val="en-GB" w:eastAsia="en-US"/>
        </w:rPr>
        <w:t xml:space="preserve">It has been demonstrated clearly that design thinking is a collaborative technique capable of generating new ideas. </w:t>
      </w:r>
      <w:r w:rsidR="00EB1E23" w:rsidRPr="00E345FB">
        <w:rPr>
          <w:sz w:val="22"/>
          <w:szCs w:val="22"/>
          <w:lang w:val="en-GB" w:eastAsia="en-US"/>
        </w:rPr>
        <w:t>Professionals and communities focus on new solutions using interdisciplinary design thinking.</w:t>
      </w:r>
      <w:r w:rsidRPr="00E345FB">
        <w:rPr>
          <w:sz w:val="22"/>
          <w:szCs w:val="22"/>
          <w:lang w:val="en-GB" w:eastAsia="en-US"/>
        </w:rPr>
        <w:t xml:space="preserve"> In this context, design thinking has extended beyond computer science discipline </w:t>
      </w:r>
      <w:r w:rsidR="00064DD5" w:rsidRPr="00E345FB">
        <w:rPr>
          <w:sz w:val="22"/>
          <w:szCs w:val="22"/>
          <w:lang w:val="en-GB" w:eastAsia="en-US"/>
        </w:rPr>
        <w:fldChar w:fldCharType="begin" w:fldLock="1"/>
      </w:r>
      <w:r w:rsidR="009412D4" w:rsidRPr="00E345FB">
        <w:rPr>
          <w:sz w:val="22"/>
          <w:szCs w:val="22"/>
          <w:lang w:val="en-GB" w:eastAsia="en-US"/>
        </w:rPr>
        <w:instrText>ADDIN CSL_CITATION {"citationItems":[{"id":"ITEM-1","itemData":{"DOI":"10.1109/CSEI47661.2019.8938895","ISBN":"9781728123080 (ISBN)","abstract":"In recent years, 'Internet plus education' has gradually emerged and educational informatization has been developed rapidly. However, the discipline development of educational technology is becoming weak. How to change this phenomenon has become a major challenge in educational technology. The core of design thinking is problem solving. The design thinking can well cultivate students' ability to solve practical problems and is an effective method to promote the development of educational technology. In this paper, by analyzing problems of the discipline development of education technology and characteristics of education technology, we have constructed a project-based curriculum group system for design thinking, which provides the direction and approach for the development of the discipline. Â© 2019 IEEE.","author":[{"dropping-particle":"","family":"Qian","given":"M","non-dropping-particle":"","parse-names":false,"suffix":""},{"dropping-particle":"","family":"Zhao","given":"B","non-dropping-particle":"","parse-names":false,"suffix":""},{"dropping-particle":"","family":"Gao","given":"Y","non-dropping-particle":"","parse-names":false,"suffix":""}],"container-title":"2019 IEEE International Conference on Computer Science and Educational Informatization, CSEI 2019","id":"ITEM-1","issued":{"date-parts":[["2019"]]},"note":"Cited By (since 2019): 3","page":"315-319","publisher":"Institute of Electrical and Electronics Engineers Inc.","title":"Exploring the Training Path of Design Thinking of Students in Educational Technology","type":"article"},"uris":["http://www.mendeley.com/documents/?uuid=99524411-e180-410d-bac8-a11e997be916"]},{"id":"ITEM-2","itemData":{"DOI":"10.1145/3416465.3416469","ISBN":"9781450388498 (ISBN)","abstract":"Design thinking is a valuable component in teacher education enabling the development of creativity amongst the cohort. Studies have been developed to capture the effects of discipline specific design thinking, however design thinking amongst Computer Science pre-service teachers has not been thoroughly evaluated. Pre-service Computer Science post-primary teachers will need to have the capacity to develop these skills within their initial teacher education programmes. In this paper we propose a design thinking workshop model for use by pre-service teachers to engage and motivate students while covering core CS concepts, using web application development. Computer Science as a subject at post-primary will enable students solve real-world problems through the design and creation of computational artefacts developed using a collaborative human-centred approach. Developing such artefacts requires particular skills, such as creativity and problem-solving and it will be necessary for Computer Science pre-service teachers to use innovative problem-solving approaches when fostering these skills. The paper will present the project implementation along with qualitative and quantitative findings. In particular this paper highlights the pre-service teacher perception of the benefits of design thinking in Computer Science particularly applicability in the domain and increased engagement. This, we argue, is critical in our understanding and important in their initial teacher education. Â© 2020 Owner/Author.","author":[{"dropping-particle":"","family":"O'Callaghan","given":"G","non-dropping-particle":"","parse-names":false,"suffix":""},{"dropping-particle":"","family":"Connolly","given":"C","non-dropping-particle":"","parse-names":false,"suffix":""}],"container-title":"2020 Conference on United Kingdom and Ireland Computing Education Research, UKICER 2020","id":"ITEM-2","issued":{"date-parts":[["2020"]]},"page":"45-50","publisher":"Association for Computing Machinery","title":"Developing creativity in computer science initial teacher education through design thinking","type":"article"},"uris":["http://www.mendeley.com/documents/?uuid=bcb4d4b6-1a3f-4ebf-8771-4680330b1c4c"]}],"mendeley":{"formattedCitation":"(O’Callaghan &amp; Connolly, 2020; Qian et al., 2019)","plainTextFormattedCitation":"(O’Callaghan &amp; Connolly, 2020; Qian et al., 2019)","previouslyFormattedCitation":"(O’Callaghan &amp; Connolly, 2020; Qian et al., 2019)"},"properties":{"noteIndex":0},"schema":"https://github.com/citation-style-language/schema/raw/master/csl-citation.json"}</w:instrText>
      </w:r>
      <w:r w:rsidR="00064DD5" w:rsidRPr="00E345FB">
        <w:rPr>
          <w:sz w:val="22"/>
          <w:szCs w:val="22"/>
          <w:lang w:val="en-GB" w:eastAsia="en-US"/>
        </w:rPr>
        <w:fldChar w:fldCharType="separate"/>
      </w:r>
      <w:r w:rsidR="009412D4" w:rsidRPr="00E345FB">
        <w:rPr>
          <w:noProof/>
          <w:sz w:val="22"/>
          <w:szCs w:val="22"/>
          <w:lang w:val="en-GB" w:eastAsia="en-US"/>
        </w:rPr>
        <w:t>(O’Callaghan &amp; Connolly, 2020; Qian et al., 2019)</w:t>
      </w:r>
      <w:r w:rsidR="00064DD5" w:rsidRPr="00E345FB">
        <w:rPr>
          <w:sz w:val="22"/>
          <w:szCs w:val="22"/>
          <w:lang w:val="en-GB" w:eastAsia="en-US"/>
        </w:rPr>
        <w:fldChar w:fldCharType="end"/>
      </w:r>
      <w:r w:rsidRPr="00E345FB">
        <w:rPr>
          <w:sz w:val="22"/>
          <w:szCs w:val="22"/>
          <w:lang w:val="en-GB" w:eastAsia="en-US"/>
        </w:rPr>
        <w:t>, social science</w:t>
      </w:r>
      <w:r w:rsidR="00064DD5" w:rsidRPr="00E345FB">
        <w:rPr>
          <w:sz w:val="22"/>
          <w:szCs w:val="22"/>
          <w:lang w:val="en-GB" w:eastAsia="en-US"/>
        </w:rPr>
        <w:fldChar w:fldCharType="begin" w:fldLock="1"/>
      </w:r>
      <w:r w:rsidR="009412D4" w:rsidRPr="00E345FB">
        <w:rPr>
          <w:sz w:val="22"/>
          <w:szCs w:val="22"/>
          <w:lang w:val="en-GB" w:eastAsia="en-US"/>
        </w:rPr>
        <w:instrText>ADDIN CSL_CITATION {"citationItems":[{"id":"ITEM-1","itemData":{"DOI":"10.1007/978-3-319-26100-3_11","ISBN":"9783319261003 (ISBN); 9783319260983 (ISBN)","abstract":"Marketing and Design Thinking are rarely associated with each other because they stem from very different fields of science and application sources: thus, different paradigms. In this paper, fundamental similarities between the two approaches are discussed and it is shown systematically how the two points of view can benefit from each other. Design Thinking can effectively help accelerate learning processes in marketingâ€”and marketing science can help ensure that in Design Thinking one does not neglect fundamental knowledge from the social sciences. Â© Springer International Publishing Switzerland 2016.","author":[{"dropping-particle":"","family":"Reinecke","given":"S","non-dropping-particle":"","parse-names":false,"suffix":""}],"container-title":"Design Thinking for Innovation: Research and Practice","id":"ITEM-1","issued":{"date-parts":[["2016"]]},"page":"151-162","publisher":"Springer International Publishing","title":"What is it that design thinking and marketing management can learn from each other?","type":"article"},"uris":["http://www.mendeley.com/documents/?uuid=f98532f5-5e9c-40e9-ac57-dc1f31b1b41b"]},{"id":"ITEM-2","itemData":{"DOI":"10.1088/1742-6596/1044/1/012012","ISBN":"17426588 (ISSN)","abstract":"The integrative process of design thinking provides a compelling framework for addressing problems in education involving coherent assessment and instruction. New possibilities for more meaningful developmental coherence within, horizontal coherence across, and vertical coherence between classroom formative and accountability assessments emerge by thinking through and enacting conceptual solutions that begin with the end in mind and that involve end users every step of the way. The nonlinear process involves empathy for students and teachers, the definition of a solvable problem (one with solutions that are feasible, viable, and desirable), the ideation of a brainstormed array of ideal \"possibly impossible\" resources for creativity (such as a very demanding measurement model and traceability to unit standards), the rapid development of an initial prototype expected to have limitations, and the first of an iterative series of tests that deliberately test the prototype en route to a recycling as needed through any other parts of the process. Applying Design Thinking may lead to new solutions to problems encountered in reconceiving and reconfiguring classrooms as meta-design ecosystem niches of creativity and innovation. An assessment outcome prototype drawn from recent work with teacher/educators that integrates developmental, horizontal, and vertical coherence is presented. Â© Published under licence by IOP Publishing Ltd.","author":[{"dropping-particle":"","family":"Fisher","given":"W P","non-dropping-particle":"","parse-names":false,"suffix":""},{"dropping-particle":"","family":"Oon","given":"E.P.-T.","non-dropping-particle":"","parse-names":false,"suffix":""},{"dropping-particle":"","family":"Benson","given":"S","non-dropping-particle":"","parse-names":false,"suffix":""}],"container-title":"2017 Joint IMEKO TC1-TC7-TC13 Symposium: Measurement Science Challenges in Natural and Social Sciences","id":"ITEM-2","issue":"1","issued":{"date-parts":[["2018"]]},"note":"Cited By (since 2018): 2","publisher":"Institute of Physics Publishing","title":"Applying Design Thinking to systemic problems in educational assessment information management","type":"article","volume":"1044"},"uris":["http://www.mendeley.com/documents/?uuid=4aefe224-6a94-472a-af76-61ae6ada8836"]},{"id":"ITEM-3","itemData":{"DOI":"10.3389/fsoc.2021.629808","ISSN":"22977775 (ISSN)","abstract":"Members of the public or community can play a significant role in the development of social innovations. When a social innovation is developed involving a scientific approach and the community, there is the confluence of two fields-citizen science and social innovation. Social innovations can be developed through the employment of design-thinking. In this paper, we advocate design thinking as an approach to marry the two fields for a desired outcome of improved community life in ageing housing estates in Tokyo. The two fields, citizen science and social innovation, are described in brief before the design thinking method is introduced and its utility in engaging citizens for social innovation is explored. The paper provides two case illustrations and the lessons drawn from them. We conclude with pointers for others who desire to employ this approach. When the resultant innovation and design-thinking approach are adopted by the community for future projects, there could be a change in society and possible forward movement for self-help and change. Â© Copyright Â© 2021 Goi and Tan.","author":[{"dropping-particle":"","family":"Goi","given":"H C","non-dropping-particle":"","parse-names":false,"suffix":""},{"dropping-particle":"","family":"Tan","given":"W.-L.","non-dropping-particle":"","parse-names":false,"suffix":""}],"container-title":"Frontiers in Sociology","id":"ITEM-3","issued":{"date-parts":[["2021"]]},"publisher":"Frontiers Media S.A.","title":"Design Thinking as a Means of Citizen Science for Social Innovation","type":"article-journal","volume":"6"},"uris":["http://www.mendeley.com/documents/?uuid=72e4bf91-cd9b-4b79-a4ef-a519d169a74e"]}],"mendeley":{"formattedCitation":"(Fisher et al., 2018; Goi &amp; Tan, 2021; Reinecke, 2016)","plainTextFormattedCitation":"(Fisher et al., 2018; Goi &amp; Tan, 2021; Reinecke, 2016)","previouslyFormattedCitation":"(Fisher et al., 2018; Goi &amp; Tan, 2021; Reinecke, 2016)"},"properties":{"noteIndex":0},"schema":"https://github.com/citation-style-language/schema/raw/master/csl-citation.json"}</w:instrText>
      </w:r>
      <w:r w:rsidR="00064DD5" w:rsidRPr="00E345FB">
        <w:rPr>
          <w:sz w:val="22"/>
          <w:szCs w:val="22"/>
          <w:lang w:val="en-GB" w:eastAsia="en-US"/>
        </w:rPr>
        <w:fldChar w:fldCharType="separate"/>
      </w:r>
      <w:r w:rsidR="009412D4" w:rsidRPr="00E345FB">
        <w:rPr>
          <w:noProof/>
          <w:sz w:val="22"/>
          <w:szCs w:val="22"/>
          <w:lang w:val="en-GB" w:eastAsia="en-US"/>
        </w:rPr>
        <w:t>(Fisher et al., 2018; Goi &amp; Tan, 2021; Reinecke, 2016)</w:t>
      </w:r>
      <w:r w:rsidR="00064DD5" w:rsidRPr="00E345FB">
        <w:rPr>
          <w:sz w:val="22"/>
          <w:szCs w:val="22"/>
          <w:lang w:val="en-GB" w:eastAsia="en-US"/>
        </w:rPr>
        <w:fldChar w:fldCharType="end"/>
      </w:r>
      <w:r w:rsidRPr="00E345FB">
        <w:rPr>
          <w:sz w:val="22"/>
          <w:szCs w:val="22"/>
          <w:lang w:val="en-GB" w:eastAsia="en-US"/>
        </w:rPr>
        <w:t xml:space="preserve">, engineering </w:t>
      </w:r>
      <w:r w:rsidR="00064DD5" w:rsidRPr="00E345FB">
        <w:rPr>
          <w:sz w:val="22"/>
          <w:szCs w:val="22"/>
          <w:lang w:val="en-GB" w:eastAsia="en-US"/>
        </w:rPr>
        <w:fldChar w:fldCharType="begin" w:fldLock="1"/>
      </w:r>
      <w:r w:rsidR="00377D62" w:rsidRPr="00E345FB">
        <w:rPr>
          <w:sz w:val="22"/>
          <w:szCs w:val="22"/>
          <w:lang w:val="en-GB" w:eastAsia="en-US"/>
        </w:rPr>
        <w:instrText>ADDIN CSL_CITATION {"citationItems":[{"id":"ITEM-1","itemData":{"DOI":"10.1109/CSEET.2017.41","ISBN":"9781538625361 (ISBN)","abstract":"Software engineering (SE) educators are challenged to balance the scope and depth in their courses to train students in skills which will fulfill the ever-evolving industry needs. Capstone courses are a tool for educators to transfer hands-on experience into practical knowledge and skills of SE students. This paper describes the design of a Casptone course, at Lappeenranta University of Technology. The designed course is 'human-centric SE capstone', infusing design thinking methods and agile practices into the project life-cycle knowhow. The capstone was offered in spring of 2017 as a 16-week course for 29 students. Design thinking was effective to perform requirement elicitation, software design and testing. Also, the applied approach allowed students to be self-directed which increased their motivation, as a result there was zero dropout rate. Design thinking is a powerful mean of problem solving and effectively supports SE education in bringing a more hands-on and minds-on, problem-based curriculum. Â© 2017 IEEE.","author":[{"dropping-particle":"","family":"Palacin-Silva","given":"M","non-dropping-particle":"","parse-names":false,"suffix":""},{"dropping-particle":"","family":"Khakurel","given":"J","non-dropping-particle":"","parse-names":false,"suffix":""},{"dropping-particle":"","family":"Happonen","given":"A","non-dropping-particle":"","parse-names":false,"suffix":""},{"dropping-particle":"","family":"Hynninen","given":"T","non-dropping-particle":"","parse-names":false,"suffix":""},{"dropping-particle":"","family":"Porras","given":"J","non-dropping-particle":"","parse-names":false,"suffix":""}],"container-title":"30th IEEE Conference on Software Engineering Education and Training, CSEE and T 2017","id":"ITEM-1","issued":{"date-parts":[["2017"]]},"note":"Cited By (since 2017): 28","page":"212-221","publisher":"Institute of Electrical and Electronics Engineers Inc.","title":"Infusing Design Thinking into a Software Engineering Capstone Course","type":"article","volume":"2017"},"uris":["http://www.mendeley.com/documents/?uuid=b1a89453-c50f-471e-a592-df6c288a6aed"]},{"id":"ITEM-2","itemData":{"DOI":"10.11591/ijeecs.v17.i1.pp379-388","ISSN":"25024752 (ISSN)","abstract":"Experiencing food involves the accumulation of multiple senses, experienced through visuals, auditory and palatability. There has been significant growth in digitizing taste using electrical and thermal components to stimulate taste sensations where users need to lick devices or place a metal peripheral on their tongue. Such unnatural interaction appears undesirable motivating us to explore if taste experience could be stimulated by just viewing images of food on a digital platform such as a website or mobile application. This places considerable emphasis on understanding user association to food images and the perceived food taste. Inability to understand their needs before-hand may result into a technological artefact with poor potentiality to trigger taste experience and not excite them to try the food they view on a digital platform. Using Design Thinking as an approach, we were able to identify user perceptions and expectations from digital food images as well as their desires on how such images could trigger their interest to try the food. This paper presents the findings from the Design Thinking excursions, the resulting Digital Food-Taste Experience Design Model and strategy for the next phase of research. Copyright Â© 2020 Institute of Advanced Engineering and Science. All rights reserved.","author":[{"dropping-particle":"","family":"Harun","given":"A F","non-dropping-particle":"","parse-names":false,"suffix":""},{"dropping-particle":"","family":"Ismail","given":"J","non-dropping-particle":"","parse-names":false,"suffix":""},{"dropping-particle":"","family":"Shiang","given":"H Y","non-dropping-particle":"","parse-names":false,"suffix":""},{"dropping-particle":"","family":"Noor","given":"N.L.Md.","non-dropping-particle":"","parse-names":false,"suffix":""},{"dropping-particle":"","family":"Baharin","given":"H","non-dropping-particle":"","parse-names":false,"suffix":""},{"dropping-particle":"","family":"Suliman","given":"S I","non-dropping-particle":"","parse-names":false,"suffix":""}],"container-title":"Indonesian Journal of Electrical Engineering and Computer Science","id":"ITEM-2","issue":"1","issued":{"date-parts":[["2019"]]},"note":"Cited By (since 2019): 3","page":"379-388","publisher":"Institute of Advanced Engineering and Science","title":"An exploratory study in conceptualizing user view on digital taste using design thinking","type":"article-journal","volume":"17"},"uris":["http://www.mendeley.com/documents/?uuid=14ebf5a1-3691-4322-871f-ebe214f91aaa"]}],"mendeley":{"formattedCitation":"(Harun et al., 2019; Palacin-Silva et al., 2017)","plainTextFormattedCitation":"(Harun et al., 2019; Palacin-Silva et al., 2017)","previouslyFormattedCitation":"(Harun et al., 2019; Palacin-Silva et al., 2017)"},"properties":{"noteIndex":0},"schema":"https://github.com/citation-style-language/schema/raw/master/csl-citation.json"}</w:instrText>
      </w:r>
      <w:r w:rsidR="00064DD5" w:rsidRPr="00E345FB">
        <w:rPr>
          <w:sz w:val="22"/>
          <w:szCs w:val="22"/>
          <w:lang w:val="en-GB" w:eastAsia="en-US"/>
        </w:rPr>
        <w:fldChar w:fldCharType="separate"/>
      </w:r>
      <w:r w:rsidR="00F0577B" w:rsidRPr="00E345FB">
        <w:rPr>
          <w:noProof/>
          <w:sz w:val="22"/>
          <w:szCs w:val="22"/>
          <w:lang w:val="en-GB" w:eastAsia="en-US"/>
        </w:rPr>
        <w:t>(Harun et al., 2019; Palacin-Silva et al., 2017)</w:t>
      </w:r>
      <w:r w:rsidR="00064DD5" w:rsidRPr="00E345FB">
        <w:rPr>
          <w:sz w:val="22"/>
          <w:szCs w:val="22"/>
          <w:lang w:val="en-GB" w:eastAsia="en-US"/>
        </w:rPr>
        <w:fldChar w:fldCharType="end"/>
      </w:r>
      <w:r w:rsidRPr="00E345FB">
        <w:rPr>
          <w:sz w:val="22"/>
          <w:szCs w:val="22"/>
          <w:lang w:val="en-GB" w:eastAsia="en-US"/>
        </w:rPr>
        <w:t>, Business, Management, and Accounting</w:t>
      </w:r>
      <w:r w:rsidR="00064DD5" w:rsidRPr="00E345FB">
        <w:rPr>
          <w:sz w:val="22"/>
          <w:szCs w:val="22"/>
          <w:lang w:val="en-GB" w:eastAsia="en-US"/>
        </w:rPr>
        <w:fldChar w:fldCharType="begin" w:fldLock="1"/>
      </w:r>
      <w:r w:rsidR="00377D62" w:rsidRPr="00E345FB">
        <w:rPr>
          <w:sz w:val="22"/>
          <w:szCs w:val="22"/>
          <w:lang w:val="en-GB" w:eastAsia="en-US"/>
        </w:rPr>
        <w:instrText>ADDIN CSL_CITATION {"citationItems":[{"id":"ITEM-1","itemData":{"DOI":"10.4018/IJICTE.2019100106","ISSN":"15501876 (ISSN)","abstract":"The purpose of this research is to explain the goals and process of administering a design thinking course in management education with particular reference to MBA-Information Technology Business Management (ITBM) stream. The study is unique and contributes to the existing body of knowledge in two significant ways. First, from a qualitative perspective, it presents a detailed narration about the planning and execution of the design thinking course to techno-management students which is a rare find in the existing literature. Second, from a quantitative perspective, the design thinking learning experiences from multiple dimensions are presented through an empirical study administered to the students. We applied exploratory factor analysis to identify certain key influencers (constructs) for learning design thinking, namely adoption willingness, empathy, collaboration, ideation, holistic learning and problem-solving. Â© 2019, IGI Global. Copying or distributing in print or electronic forms without written permission of IGI Global is prohibited.","author":[{"dropping-particle":"","family":"Bharathi","given":"S Vijayakumar","non-dropping-particle":"","parse-names":false,"suffix":""},{"dropping-particle":"","family":"Pande","given":"M","non-dropping-particle":"","parse-names":false,"suffix":""}],"container-title":"International Journal of Information and Communication Technology Education","id":"ITEM-1","issue":"4","issued":{"date-parts":[["2019"]]},"note":"Cited By (since 2019): 1","page":"76-93","publisher":"IGI Global","title":"Why design thinking in IT business management program? An exploratory study on students' design thinking learning experience","type":"article-journal","volume":"15"},"uris":["http://www.mendeley.com/documents/?uuid=abe23778-b4b2-4c63-a5b0-8d4b6aa0f647"]},{"id":"ITEM-2","itemData":{"abstract":"Change by Design-an evaluation by a fund-raiser. Where are the new fund-raising ideas? Most of the buzz continues to be from the business world-a world that has long known that keeping ahead and retaining customer loyalty is only as good as the next good idea. But ideas in fund-raising? My most recent excursion into fund-raising school was in Toronto where a fund-raising management course used crudely assembled and printed texts that served up bulleted lists of how-tos from the 1980s. The instructor wisely focused us on cases she had created and we used the texts only for the occasional reference (and they had limitations even there). Good though the teacher was, in the end it was the same old, same old-how to run a campaign, use a database, budget, manage a board, approach a donor… Nothing for instance that challenged the old models; nothing on how to think. It has been great therefore to be reading some of the latest entries in the business literature. These focus squarely on new ideas, innovation, thinking. Or more precisely, design thinking. An important book on this theme is Change by Design by Tim Brown (HarperCollins, NY, 2009). Brown is a designer who began with the old model for his field-making someone else's product look stylish. Design stopped there. Brown however did not stop there. His book is about his quest for the right role for design and the new vision that emerged, with many instructive (and hugely entertaining) examples along the way. Brown holds that design thinking can reshape the entire organization in such a way that it can not only continually innovate, but also continually outdo the competition. \"Design\" in this new iteration permeates both the organization that serves the customer and the customer experience that it delivers. And the \"thinking\" is a lot more than sitting like Rodin's Thinker with your chin in your hand. A \"design thinker\" is intensely collaborative, empathic, able to craft things in the real world. Combined, these two words become a new paradigm, one that ranges over a wide landscape of radical innovation. Innovation is key to success and radical ideas are the way to effective innovation. 1 The goal of this innovation is to realize-not just a nice product for the customer-but a good experience. \"Thinking through the process of serving a meal is the difference between cooking and designing an experience…\" 2 1 Incrementalism incidentally is the business-as-usual opposite. Brown refers with some contempt to \"the…","author":[{"dropping-particle":"","family":"Brown","given":"Tim","non-dropping-particle":"","parse-names":false,"suffix":""}],"container-title":"Mwo","id":"ITEM-2","issued":{"date-parts":[["2019"]]},"page":"124","title":"Business Concepts for Fundraising Change By Design : How Design Thinking Inspires Innovation Business Concepts for Fundraising","type":"article-journal"},"uris":["http://www.mendeley.com/documents/?uuid=89a5223a-1b71-4e92-b014-5e478201acea"]},{"id":"ITEM-3","itemData":{"DOI":"10.1016/j.jclepro.2021.126751","ISSN":"09596526 (ISSN)","abstract":"Innovation within the development of sustainable business models has become a hot topic but it is affected by a high failure rate due to a lack of reliable and efficient methods. This paper focuses explicitly on the importance of using bespoke methods in the process of designing sustainable and innovative business models to face an even more uncertain business climate. It revisits the concept of sustainable business models, sustainable business model innovation and design thinking, through a synthesis of the literature. Subsequently, this paper presents a design framework consisting of portrayal, exploration, prototype, and evaluation. Using the Tuotuo Community as a case study, our research results demonstrate the need for the application of design thinking to sustainable business model innovation. However, one single case study is not enough to uncover all the problems related to sustainable business model innovation. Consequently, this paper advises on the specific characteristics of design thinking implementation and presents key practical points for business survival. Â© 2021 Elsevier Ltd","author":[{"dropping-particle":"","family":"He","given":"J","non-dropping-particle":"","parse-names":false,"suffix":""},{"dropping-particle":"","family":"Ortiz","given":"J","non-dropping-particle":"","parse-names":false,"suffix":""}],"container-title":"Journal of Cleaner Production","id":"ITEM-3","issued":{"date-parts":[["2021"]]},"note":"Cited By (since 2021): 3","publisher":"Elsevier Ltd","title":"Sustainable business modeling: The need for innovative design thinking","type":"article-journal","volume":"298"},"uris":["http://www.mendeley.com/documents/?uuid=daae96db-c71e-447a-ab70-3b47a3ab068f"]}],"mendeley":{"formattedCitation":"(Bharathi &amp; Pande, 2019; Tim Brown, 2019; He &amp; Ortiz, 2021)","plainTextFormattedCitation":"(Bharathi &amp; Pande, 2019; Tim Brown, 2019; He &amp; Ortiz, 2021)","previouslyFormattedCitation":"(Bharathi &amp; Pande, 2019; Tim Brown, 2019; He &amp; Ortiz, 2021)"},"properties":{"noteIndex":0},"schema":"https://github.com/citation-style-language/schema/raw/master/csl-citation.json"}</w:instrText>
      </w:r>
      <w:r w:rsidR="00064DD5" w:rsidRPr="00E345FB">
        <w:rPr>
          <w:sz w:val="22"/>
          <w:szCs w:val="22"/>
          <w:lang w:val="en-GB" w:eastAsia="en-US"/>
        </w:rPr>
        <w:fldChar w:fldCharType="separate"/>
      </w:r>
      <w:r w:rsidR="00377D62" w:rsidRPr="00E345FB">
        <w:rPr>
          <w:noProof/>
          <w:sz w:val="22"/>
          <w:szCs w:val="22"/>
          <w:lang w:val="en-GB" w:eastAsia="en-US"/>
        </w:rPr>
        <w:t>(Bharathi &amp; Pande, 2019; Tim Brown, 2019; He &amp; Ortiz, 2021)</w:t>
      </w:r>
      <w:r w:rsidR="00064DD5" w:rsidRPr="00E345FB">
        <w:rPr>
          <w:sz w:val="22"/>
          <w:szCs w:val="22"/>
          <w:lang w:val="en-GB" w:eastAsia="en-US"/>
        </w:rPr>
        <w:fldChar w:fldCharType="end"/>
      </w:r>
      <w:r w:rsidR="00377D62" w:rsidRPr="00E345FB">
        <w:rPr>
          <w:sz w:val="22"/>
          <w:szCs w:val="22"/>
        </w:rPr>
        <w:t xml:space="preserve">, </w:t>
      </w:r>
      <w:r w:rsidR="008909F9" w:rsidRPr="00E345FB">
        <w:rPr>
          <w:sz w:val="22"/>
          <w:szCs w:val="22"/>
        </w:rPr>
        <w:t xml:space="preserve">health profession </w:t>
      </w:r>
      <w:r w:rsidR="00064DD5" w:rsidRPr="00E345FB">
        <w:rPr>
          <w:sz w:val="22"/>
          <w:szCs w:val="22"/>
        </w:rPr>
        <w:fldChar w:fldCharType="begin" w:fldLock="1"/>
      </w:r>
      <w:r w:rsidR="00377D62" w:rsidRPr="00E345FB">
        <w:rPr>
          <w:sz w:val="22"/>
          <w:szCs w:val="22"/>
        </w:rPr>
        <w:instrText>ADDIN CSL_CITATION {"citationItems":[{"id":"ITEM-1","itemData":{"DOI":"10.1109/ASET48392.2020.9118202","ISBN":"9781728146409 (ISBN)","abstract":"Global industries are acknowledging that professions as we know them will not require the same skills as they did in the 20th Century. Therefore how can universities prepare students for challenges that have not been fully identified? This paper will present the Design4Health Bootcamp, an initiative that intends to close the so-called '21st century skills gap'. We present its course curriculum, quantitative and qualitative evaluation and conclude with a set of principles that support the implementation of such initiatives. Â© 2020 IEEE.","author":[{"dropping-particle":"","family":"Boillat","given":"T","non-dropping-particle":"","parse-names":false,"suffix":""},{"dropping-particle":"","family":"Tuffnell","given":"C","non-dropping-particle":"","parse-names":false,"suffix":""},{"dropping-particle":"","family":"Rivas","given":"H","non-dropping-particle":"","parse-names":false,"suffix":""},{"dropping-particle":"","family":"Aloul","given":"F","non-dropping-particle":"","parse-names":false,"suffix":""},{"dropping-particle":"","family":"Montana","given":"C","non-dropping-particle":"","parse-names":false,"suffix":""}],"container-title":"2020 Advances in Science and Engineering Technology International Conferences, ASET 2020","id":"ITEM-1","issued":{"date-parts":[["2020"]]},"publisher":"Institute of Electrical and Electronics Engineers Inc.","title":"Design4Health bootcamp: A design thinking approach to improve the 21stcentury skills of health, engineering and design students","type":"article"},"uris":["http://www.mendeley.com/documents/?uuid=4b071ae3-f2e0-4a9c-832e-b27cb8805ac4"]},{"id":"ITEM-2","itemData":{"DOI":"10.1177/1937586721994228","ISSN":"19375867 (ISSN)","abstract":"Purpose: The purpose of this article is to define design thinking, provide insights into how it may be integrated into the healthcare design process, and provide a checklist for future implementation. Background: Design thinking is a collaborative method of inquiry that fosters innovative, team-generated solutions to complex scenarios, known as â€œwicked problems,â€ that are extraordinarily difficult to solve. It is a practical tool in the toolbox of the codesign team, which includes the client and design professionals as primary stakeholders. It is powered by team-based creativity that adaptively responds to a need for new approaches and products in an innovative and practically applicable way. The need for design thinking in healthcare is steadily increasing as the healthcare system and its care environments continue to grow in complexity. Although major medical breakthroughs have undeniably expanded the average human life span, the current healthcare system is inefficient. Now, more than ever, design thinking and the innovative, human-centered solutions it enables are needed within healthcare design. Although the use of design thinking as a method within the field of architecture is not new, many design teams struggle integrating it fully within the design process, particularly in healthcare. The knowledge, design method, checklists, and direction provided in this article can benefit healthcare design teams to successfully integrate the method into practice. Conclusion: If design thinking is integrated into the healthcare architectural design process with the creative problem-solving method, opportunities will arise for innovative solutions and deeper insights into problems to benefit healthcare delivery. Â© The Author(s) 2021.","author":[{"dropping-particle":"","family":"Lorusso","given":"L","non-dropping-particle":"","parse-names":false,"suffix":""},{"dropping-particle":"","family":"Lee","given":"J H","non-dropping-particle":"","parse-names":false,"suffix":""},{"dropping-particle":"","family":"Worden","given":"E A","non-dropping-particle":"","parse-names":false,"suffix":""}],"container-title":"Health Environments Research and Design Journal","id":"ITEM-2","issue":"2","issued":{"date-parts":[["2021"]]},"note":"Cited By (since 2021): 1","page":"16-29","publisher":"SAGE Publications Inc.","title":"Design Thinking for Healthcare: Transliterating the Creative Problem-Solving Method Into Architectural Practice","type":"article-journal","volume":"14"},"uris":["http://www.mendeley.com/documents/?uuid=862517e7-6dbd-474e-8fd5-930fa14897f7"]},{"id":"ITEM-3","itemData":{"DOI":"10.1108/IJQSS-04-2019-0055","ISSN":"1756669X (ISSN)","abstract":"Purpose: The purpose of this paper is to contribute knowledge concerning the dynamics and potential cultural tensions that occur when applying user involvement and design thinking (DT) for improving quality in a health-care setting. Design/methodology/approach: This paper is based on a case study following a quality improvement (QI) project in a medium-sized Swedish county council in the field of somatic care. The project involved eight health-care professionals, one designer, four patients and two relatives. A multiple data collection method over a period of ten months was used. It included individual interviews, e-mail correspondence and observations of workshops that covered the QI project. Findings: The result shows tensions between QI work and the daily clinical work of the participants. These tensions primarily concern the conflict between fast and slow processes, the problem of moving between different fields of knowledge, being a resource for the individual clinic and the system and the participantsâ€™ expectations and assumptions about roles and responsibilities in a QI project. Furthermore, these findings could be interpreted as signs of a development culture in the health-care context. Practical implications: There are several practical implications. Among others, the insights can inspire how to approach and contextualize the current concepts, roles and methods of DT and user involvement so that they can be more easily understood and integrated into the existing culture and way of working in the health-care sector. Originality/value: This study provides a unique insight into a case, trying to uncover what actually is going on and perhaps, why certain things are not happening at all, when user involvement and design practices are applied for improving health-care quality. Â© 2020, Emerald Publishing Limited.","author":[{"dropping-particle":"","family":"BostrÃ¶m","given":"J","non-dropping-particle":"","parse-names":false,"suffix":""},{"dropping-particle":"","family":"Hillborg","given":"H","non-dropping-particle":"","parse-names":false,"suffix":""},{"dropping-particle":"","family":"Lilja","given":"J","non-dropping-particle":"","parse-names":false,"suffix":""}],"container-title":"International Journal of Quality and Service Sciences","id":"ITEM-3","issue":"1","issued":{"date-parts":[["2021"]]},"page":"16-28","publisher":"Emerald Group Holdings Ltd.","title":"Cultural dynamics and tensions when applying design thinking for improving health-care quality","type":"article-journal","volume":"13"},"uris":["http://www.mendeley.com/documents/?uuid=bef865ae-dec5-45f6-84b9-6670cd2c4754"]}],"mendeley":{"formattedCitation":"(Boillat et al., 2020; BostrÃ¶m et al., 2021; Lorusso et al., 2021)","plainTextFormattedCitation":"(Boillat et al., 2020; BostrÃ¶m et al., 2021; Lorusso et al., 2021)","previouslyFormattedCitation":"(Boillat et al., 2020; BostrÃ¶m et al., 2021; Lorusso et al., 2021)"},"properties":{"noteIndex":0},"schema":"https://github.com/citation-style-language/schema/raw/master/csl-citation.json"}</w:instrText>
      </w:r>
      <w:r w:rsidR="00064DD5" w:rsidRPr="00E345FB">
        <w:rPr>
          <w:sz w:val="22"/>
          <w:szCs w:val="22"/>
        </w:rPr>
        <w:fldChar w:fldCharType="separate"/>
      </w:r>
      <w:r w:rsidR="00377D62" w:rsidRPr="00E345FB">
        <w:rPr>
          <w:noProof/>
          <w:sz w:val="22"/>
          <w:szCs w:val="22"/>
        </w:rPr>
        <w:t>(Boillat et al., 2020; BostrÃ¶m et al., 2021; Lorusso et al., 2021)</w:t>
      </w:r>
      <w:r w:rsidR="00064DD5" w:rsidRPr="00E345FB">
        <w:rPr>
          <w:sz w:val="22"/>
          <w:szCs w:val="22"/>
        </w:rPr>
        <w:fldChar w:fldCharType="end"/>
      </w:r>
      <w:r w:rsidR="00377D62" w:rsidRPr="00E345FB">
        <w:rPr>
          <w:sz w:val="22"/>
          <w:szCs w:val="22"/>
        </w:rPr>
        <w:t xml:space="preserve"> art and humanities </w:t>
      </w:r>
      <w:r w:rsidR="00064DD5" w:rsidRPr="00E345FB">
        <w:rPr>
          <w:sz w:val="22"/>
          <w:szCs w:val="22"/>
        </w:rPr>
        <w:fldChar w:fldCharType="begin" w:fldLock="1"/>
      </w:r>
      <w:r w:rsidR="00E94863" w:rsidRPr="00E345FB">
        <w:rPr>
          <w:sz w:val="22"/>
          <w:szCs w:val="22"/>
        </w:rPr>
        <w:instrText>ADDIN CSL_CITATION {"citationItems":[{"id":"ITEM-1","itemData":{"DOI":"10.1088/1742-6596/1574/1/012114","ISBN":"17426588 (ISSN)","abstract":"With the continuous development and innovation of human artistic thinking, they have higher requirements for their own living environment. In this case, environmental art design has become a very important design subject. As a way of expression of environmental art design, effect drawing has been paid more and more attention. Environmental art design should be established on the basis of natural environment to determine its design commonality. It can not only protect people's physical and mental health and improve people's work efficiency, but also strengthen the artistry and practicability of the natural environment. Hand drawing and computer drawing have their own advantages and disadvantages. The combination of the two can make the environmental art thinking get the best expression. Â© 2020 Published under licence by IOP Publishing Ltd.","author":[{"dropping-particle":"","family":"Liu","given":"Z","non-dropping-particle":"","parse-names":false,"suffix":""}],"container-title":"1st International Conference on Computer Applied Science and Information Technology, ICCASIT 2020","id":"ITEM-1","issue":"1","issued":{"date-parts":[["2020"]]},"publisher":"Institute of Physics Publishing","title":"The Construction of Environmental Art Design Thinking Based on Hand Drawing and Computer Drawing","type":"article","volume":"1574"},"uris":["http://www.mendeley.com/documents/?uuid=42db3cec-cce0-4f47-847e-a742a8026cdd"]},{"id":"ITEM-2","itemData":{"DOI":"10.1088/1742-6596/1634/1/012006","ISBN":"17426588 (ISSN)","abstract":"In the process of rapid development of information technology, the development speed of the information age is also relatively fast. In the information age, digital media has influenced modern design art to a certain extent. In the process of continuous development of media technology, visual works have developed and progressed significantly in terms of space. Because art has a crucial position in the design process of modern works. Therefore, we are supposed to study and analyze the application of art design thinking in visual works in the field of digital media, and explore the positive role of art in the design process of works. It is proposed that the application of artistic thinking in the design of works has a positive significance in enhancing the application effect of artistic design thinking. Â© Published under licence by IOP Publishing Ltd.","author":[{"dropping-particle":"","family":"Wang","given":"X","non-dropping-particle":"","parse-names":false,"suffix":""},{"dropping-particle":"","family":"Zhang","given":"Y","non-dropping-particle":"","parse-names":false,"suffix":""}],"container-title":"2020 3rd International Conference on Computer Information Science and Application Technology, CISAT 2020","id":"ITEM-2","issue":"1","issued":{"date-parts":[["2020"]]},"publisher":"IOP Publishing Ltd","title":"The Application of Art Design Thinking in Visual Works from the Perspective of Digital Media","type":"article","volume":"1634"},"uris":["http://www.mendeley.com/documents/?uuid=e51ec979-a7fa-4dbd-b402-0279a32e8e99"]}],"mendeley":{"formattedCitation":"(Liu, 2020; X. Wang &amp; Zhang, 2020)","plainTextFormattedCitation":"(Liu, 2020; X. Wang &amp; Zhang, 2020)","previouslyFormattedCitation":"(Liu, 2020; X. Wang &amp; Zhang, 2020)"},"properties":{"noteIndex":0},"schema":"https://github.com/citation-style-language/schema/raw/master/csl-citation.json"}</w:instrText>
      </w:r>
      <w:r w:rsidR="00064DD5" w:rsidRPr="00E345FB">
        <w:rPr>
          <w:sz w:val="22"/>
          <w:szCs w:val="22"/>
        </w:rPr>
        <w:fldChar w:fldCharType="separate"/>
      </w:r>
      <w:r w:rsidR="00E94863" w:rsidRPr="00E345FB">
        <w:rPr>
          <w:noProof/>
          <w:sz w:val="22"/>
          <w:szCs w:val="22"/>
        </w:rPr>
        <w:t>(Liu, 2020; X. Wang &amp; Zhang, 2020)</w:t>
      </w:r>
      <w:r w:rsidR="00064DD5" w:rsidRPr="00E345FB">
        <w:rPr>
          <w:sz w:val="22"/>
          <w:szCs w:val="22"/>
        </w:rPr>
        <w:fldChar w:fldCharType="end"/>
      </w:r>
      <w:r w:rsidR="008909F9" w:rsidRPr="00E345FB">
        <w:rPr>
          <w:sz w:val="22"/>
          <w:szCs w:val="22"/>
        </w:rPr>
        <w:t>,</w:t>
      </w:r>
      <w:r w:rsidR="00E94863" w:rsidRPr="00E345FB">
        <w:rPr>
          <w:sz w:val="22"/>
          <w:szCs w:val="22"/>
        </w:rPr>
        <w:t xml:space="preserve"> and</w:t>
      </w:r>
      <w:r w:rsidR="008909F9" w:rsidRPr="00E345FB">
        <w:rPr>
          <w:sz w:val="22"/>
          <w:szCs w:val="22"/>
        </w:rPr>
        <w:t xml:space="preserve"> journalism and writing</w:t>
      </w:r>
      <w:r w:rsidR="00064DD5" w:rsidRPr="00E345FB">
        <w:rPr>
          <w:sz w:val="22"/>
          <w:szCs w:val="22"/>
        </w:rPr>
        <w:fldChar w:fldCharType="begin" w:fldLock="1"/>
      </w:r>
      <w:r w:rsidR="00E94863" w:rsidRPr="00E345FB">
        <w:rPr>
          <w:sz w:val="22"/>
          <w:szCs w:val="22"/>
        </w:rPr>
        <w:instrText>ADDIN CSL_CITATION {"citationItems":[{"id":"ITEM-1","itemData":{"ISSN":"18686052 (ISSN)","abstract":"This article is focused on new service design thinking in the ubiquitous media. It outlines fresh, new ideas as to how journalism can serve citizens. The future of media houses are hotly contested and highly uncertain, reflecting developments in media technologies (digitalisation, ubiquitous technologies, e-commerce etc.), shifting business strategies for online news, changing media organisational and regulatory structures, the continuing fragmentation of audiences and a growing public concern about aspects of tabloid journalism reporting (thin content, etc.), as well as broader political, sociological and cultural changes that make many communication issues sensitive. In this situation, there is an urgent need for better service design solutions.","author":[{"dropping-particle":"","family":"Kaivo-Oja","given":"J","non-dropping-particle":"","parse-names":false,"suffix":""}],"container-title":"Touchpoint","id":"ITEM-1","issue":"3","issued":{"date-parts":[["2014"]]},"note":"Cited By (since 2014): 1","page":"34-39","title":"New service design thinking in the ubiquitous media: New ideas for journalism that help and serve people","type":"article-journal","volume":"5"},"uris":["http://www.mendeley.com/documents/?uuid=01981162-21ac-43b0-8c1c-da3df5d7b81d"]},{"id":"ITEM-2","itemData":{"ISSN":"0010096X (ISSN)","abstract":"Through sharing results of an analysis of design language use in several writing studies journals, this article explores why we invoke design in published scholarship. After defining the approach to composing known as design thinking, it then moves to a comparison of design thinking and the writing process and looks at an example application of design thinking in the field. I argue that design thinking not only offers a useful approach for tackling multimodal/multimedia composing tasks, but also situates the goal of writing studies as textual action and asks us to reconsider writing's home in the university. Â© 2014 by the National Council of Teachers of English. All rights reserved.","author":[{"dropping-particle":"","family":"Purdy","given":"J P","non-dropping-particle":"","parse-names":false,"suffix":""}],"container-title":"College Composition and Communication","id":"ITEM-2","issue":"4","issued":{"date-parts":[["2014"]]},"note":"Cited By (since 2014): 43","page":"612-641","publisher":"National Council of Teachers of English","title":"What can design thinking offer writing studies?","type":"article-journal","volume":"65"},"uris":["http://www.mendeley.com/documents/?uuid=d9af6744-67a6-46ce-a5a3-173c9197bd58"]}],"mendeley":{"formattedCitation":"(Kaivo-Oja, 2014; Purdy, 2014)","plainTextFormattedCitation":"(Kaivo-Oja, 2014; Purdy, 2014)","previouslyFormattedCitation":"(Kaivo-Oja, 2014; Purdy, 2014)"},"properties":{"noteIndex":0},"schema":"https://github.com/citation-style-language/schema/raw/master/csl-citation.json"}</w:instrText>
      </w:r>
      <w:r w:rsidR="00064DD5" w:rsidRPr="00E345FB">
        <w:rPr>
          <w:sz w:val="22"/>
          <w:szCs w:val="22"/>
        </w:rPr>
        <w:fldChar w:fldCharType="separate"/>
      </w:r>
      <w:r w:rsidR="00E94863" w:rsidRPr="00E345FB">
        <w:rPr>
          <w:noProof/>
          <w:sz w:val="22"/>
          <w:szCs w:val="22"/>
        </w:rPr>
        <w:t>(Kaivo-Oja, 2014; Purdy, 2014)</w:t>
      </w:r>
      <w:r w:rsidR="00064DD5" w:rsidRPr="00E345FB">
        <w:rPr>
          <w:sz w:val="22"/>
          <w:szCs w:val="22"/>
        </w:rPr>
        <w:fldChar w:fldCharType="end"/>
      </w:r>
      <w:r w:rsidR="008909F9" w:rsidRPr="00E345FB">
        <w:rPr>
          <w:sz w:val="22"/>
          <w:szCs w:val="22"/>
        </w:rPr>
        <w:t>.</w:t>
      </w:r>
    </w:p>
    <w:p w:rsidR="0031540E" w:rsidRPr="00E345FB" w:rsidRDefault="0031540E" w:rsidP="00E345FB">
      <w:pPr>
        <w:pStyle w:val="IJOPCMBody"/>
        <w:suppressAutoHyphens/>
        <w:spacing w:before="0" w:after="0"/>
        <w:rPr>
          <w:sz w:val="22"/>
          <w:szCs w:val="22"/>
        </w:rPr>
      </w:pPr>
    </w:p>
    <w:p w:rsidR="0031540E" w:rsidRPr="00E345FB" w:rsidRDefault="0031540E" w:rsidP="00E345FB">
      <w:pPr>
        <w:pStyle w:val="IJOPCMBody"/>
        <w:suppressAutoHyphens/>
        <w:spacing w:before="0" w:after="0"/>
        <w:rPr>
          <w:sz w:val="22"/>
          <w:szCs w:val="22"/>
        </w:rPr>
      </w:pPr>
      <w:r w:rsidRPr="00E345FB">
        <w:rPr>
          <w:sz w:val="22"/>
          <w:szCs w:val="22"/>
        </w:rPr>
        <w:t xml:space="preserve">Previous bibliometric analysis was conducted on design thinking concerning entrepreneurial orientation </w:t>
      </w:r>
      <w:r w:rsidR="00064DD5" w:rsidRPr="00E345FB">
        <w:rPr>
          <w:sz w:val="22"/>
          <w:szCs w:val="22"/>
        </w:rPr>
        <w:fldChar w:fldCharType="begin" w:fldLock="1"/>
      </w:r>
      <w:r w:rsidR="00E94863" w:rsidRPr="00E345FB">
        <w:rPr>
          <w:sz w:val="22"/>
          <w:szCs w:val="22"/>
        </w:rPr>
        <w:instrText>ADDIN CSL_CITATION {"citationItems":[{"id":"ITEM-1","itemData":{"DOI":"10.1108/WJEMSD-05-2019-0028","ISSN":"2042597X","abstract":"Purpose: Design thinking (DT) is still a relatively new methodology in the context of entrepreneurial education, which presents itself as an important tool for the development of entrepreneurial skills when inserted into the educational system. This research aimed to analyze studies about DT related to the entrepreneurial mindset in international journals over a period of ten years (2009–2019). Entrepreneurial education has been a constant in academic debates as well as practices and methodologies to apply this education, and such context has moved educational institutions to adopt practices and initiatives focused on the theme. Design/methodology/approach: The tool used in the present study was the bibliometric database of the Web of Science through the words “Design Thinking” (DT) and “Entrepreneurial Education”. The research is characterized as descriptive and quantitative, and 146 publications were investigated in the period from 2009 to 2019, in the respective database. Findings: The study also highlighted the new generation of young students forcing a change in education with an approach centered on the individual. Speech does not prevail in the teachers but in the students, and the teacher educator starts to collaborate for this new educational demand with didactics relevant to the world in this way preparing these young people and delivering society to critical, proactive and participatory individuals. Originality/value: In the course of the study, we observed practices and examples of schools and universities that have adapted ways to allow new interactions in the school environment by promoting and encouraging innovative education.","author":[{"dropping-particle":"","family":"Johann","given":"Denise Adriana","non-dropping-particle":"","parse-names":false,"suffix":""},{"dropping-particle":"","family":"Nunes","given":"Andrieli de Fátima Paz","non-dropping-particle":"","parse-names":false,"suffix":""},{"dropping-particle":"dos","family":"Santos","given":"Geovane Barbosa","non-dropping-particle":"","parse-names":false,"suffix":""},{"dropping-particle":"da","family":"Silva","given":"Deoclécio Junior Cardoso","non-dropping-particle":"","parse-names":false,"suffix":""},{"dropping-particle":"","family":"Bresciani","given":"Sirlene Aparecida Takeda","non-dropping-particle":"","parse-names":false,"suffix":""},{"dropping-particle":"","family":"Lopes","given":"Luis Felipe Dias","non-dropping-particle":"","parse-names":false,"suffix":""}],"container-title":"World Journal of Entrepreneurship, Management and Sustainable Development","id":"ITEM-1","issue":"4","issued":{"date-parts":[["2020"]]},"page":"271-285","title":"Mapping of scientific production on design thinking as a tool for entrepreneurship education: a bibliometric study of a decade","type":"article-journal","volume":"16"},"uris":["http://www.mendeley.com/documents/?uuid=822ab800-1d5a-48f3-ab76-4dd52b8adf91"]}],"mendeley":{"formattedCitation":"(Johann et al., 2020)","plainTextFormattedCitation":"(Johann et al., 2020)","previouslyFormattedCitation":"(Johann et al., 2020)"},"properties":{"noteIndex":0},"schema":"https://github.com/citation-style-language/schema/raw/master/csl-citation.json"}</w:instrText>
      </w:r>
      <w:r w:rsidR="00064DD5" w:rsidRPr="00E345FB">
        <w:rPr>
          <w:sz w:val="22"/>
          <w:szCs w:val="22"/>
        </w:rPr>
        <w:fldChar w:fldCharType="separate"/>
      </w:r>
      <w:r w:rsidR="00E94863" w:rsidRPr="00E345FB">
        <w:rPr>
          <w:noProof/>
          <w:sz w:val="22"/>
          <w:szCs w:val="22"/>
        </w:rPr>
        <w:t>(Johann et al., 2020)</w:t>
      </w:r>
      <w:r w:rsidR="00064DD5" w:rsidRPr="00E345FB">
        <w:rPr>
          <w:sz w:val="22"/>
          <w:szCs w:val="22"/>
        </w:rPr>
        <w:fldChar w:fldCharType="end"/>
      </w:r>
      <w:r w:rsidRPr="00E345FB">
        <w:rPr>
          <w:sz w:val="22"/>
          <w:szCs w:val="22"/>
        </w:rPr>
        <w:t xml:space="preserve">, while a more current bibliometric study used a combined strategy of SLR, bibliometric analysis, and content analysis </w:t>
      </w:r>
      <w:r w:rsidR="00064DD5" w:rsidRPr="00E345FB">
        <w:rPr>
          <w:sz w:val="22"/>
          <w:szCs w:val="22"/>
        </w:rPr>
        <w:fldChar w:fldCharType="begin" w:fldLock="1"/>
      </w:r>
      <w:r w:rsidR="000F0D47" w:rsidRPr="00E345FB">
        <w:rPr>
          <w:sz w:val="22"/>
          <w:szCs w:val="22"/>
        </w:rPr>
        <w:instrText>ADDIN CSL_CITATION {"citationItems":[{"id":"ITEM-1","itemData":{"DOI":"10.1007/s13132-022-00920-3","ISBN":"0123456789","ISSN":"18687873","abstract":"The purpose of this study is to conduct a comprehensive systematic literature review, bibliometric analysis, and content analysis of design thinking (DT). To identify the research papers, a systematic literature review was done. After reading, all titles of the articles, abstract, keywords, and full-length articles based on the requirement, unrelated articles to design thinking were removed. In the second step, articles were read more critically. Finally, bibliometric and content analyses of the selected articles were carried out. Content analysis was done based on bibliometric coupling between the selected article and the recent article. The paper identified sixteen existing research diversification in design thinking. An indistinct interpretation of the progress of research article publication, research diversification on theme and subtheme of 16 clusters, present research trends, and five prospective research directions on design thinking has been identified here.","author":[{"dropping-particle":"","family":"Bhandari","given":"Arabinda","non-dropping-particle":"","parse-names":false,"suffix":""}],"container-title":"Journal of the Knowledge Economy","id":"ITEM-1","issue":"0123456789","issued":{"date-parts":[["2022"]]},"publisher":"Springer US","title":"Design Thinking: from Bibliometric Analysis to Content Analysis, Current Research Trends, and Future Research Directions","type":"book"},"uris":["http://www.mendeley.com/documents/?uuid=db2b7668-7932-420a-b721-40ff69ec623e"]}],"mendeley":{"formattedCitation":"(Bhandari, 2022)","plainTextFormattedCitation":"(Bhandari, 2022)","previouslyFormattedCitation":"(Bhandari, 2022)"},"properties":{"noteIndex":0},"schema":"https://github.com/citation-style-language/schema/raw/master/csl-citation.json"}</w:instrText>
      </w:r>
      <w:r w:rsidR="00064DD5" w:rsidRPr="00E345FB">
        <w:rPr>
          <w:sz w:val="22"/>
          <w:szCs w:val="22"/>
        </w:rPr>
        <w:fldChar w:fldCharType="separate"/>
      </w:r>
      <w:r w:rsidR="00E94863" w:rsidRPr="00E345FB">
        <w:rPr>
          <w:noProof/>
          <w:sz w:val="22"/>
          <w:szCs w:val="22"/>
        </w:rPr>
        <w:t>(Bhandari, 2022)</w:t>
      </w:r>
      <w:r w:rsidR="00064DD5" w:rsidRPr="00E345FB">
        <w:rPr>
          <w:sz w:val="22"/>
          <w:szCs w:val="22"/>
        </w:rPr>
        <w:fldChar w:fldCharType="end"/>
      </w:r>
      <w:r w:rsidRPr="00E345FB">
        <w:rPr>
          <w:sz w:val="22"/>
          <w:szCs w:val="22"/>
        </w:rPr>
        <w:t xml:space="preserve">. The author emphasizes the diversity of design thinking research themes and sub-themes. </w:t>
      </w:r>
      <w:r w:rsidR="000F0D47" w:rsidRPr="00E345FB">
        <w:rPr>
          <w:sz w:val="22"/>
          <w:szCs w:val="22"/>
        </w:rPr>
        <w:t>However, past researchers suggest conducting any further research direction with appropriate research objectives for exploring further research on design thinking. Therefore</w:t>
      </w:r>
      <w:r w:rsidRPr="00E345FB">
        <w:rPr>
          <w:sz w:val="22"/>
          <w:szCs w:val="22"/>
        </w:rPr>
        <w:t xml:space="preserve">, this article will summarize the current state of design thinking research and analyze the field's growth using Scopus data sets related to design thinking research from 2000 to 2021. In addition, this paper aims to provide the </w:t>
      </w:r>
      <w:r w:rsidR="00497C52" w:rsidRPr="00E345FB">
        <w:rPr>
          <w:sz w:val="22"/>
          <w:szCs w:val="22"/>
        </w:rPr>
        <w:t>previous study’s findings</w:t>
      </w:r>
      <w:r w:rsidRPr="00E345FB">
        <w:rPr>
          <w:sz w:val="22"/>
          <w:szCs w:val="22"/>
        </w:rPr>
        <w:t xml:space="preserve"> on design thinking and provide an up-to-date visual map of the design thinking research's global development.</w:t>
      </w:r>
      <w:r w:rsidR="00132CC0" w:rsidRPr="00E345FB">
        <w:rPr>
          <w:sz w:val="22"/>
          <w:szCs w:val="22"/>
        </w:rPr>
        <w:t xml:space="preserve">The following is an overview of the paper's layout. First, we present an analysis of relevant literature on bibliometric analysis and previous research on design thinking-related publications. Second, we go over the methods used in this research. The </w:t>
      </w:r>
      <w:r w:rsidR="00132CC0" w:rsidRPr="00E345FB">
        <w:rPr>
          <w:sz w:val="22"/>
          <w:szCs w:val="22"/>
        </w:rPr>
        <w:lastRenderedPageBreak/>
        <w:t>results obtained from the documents gathered in the Scopus database are reported in the analysis and findings section. The overview, limitations, and recommendations for future research are discussed in the conclusion part.</w:t>
      </w:r>
    </w:p>
    <w:p w:rsidR="006D2154" w:rsidRPr="00E345FB" w:rsidRDefault="006D2154" w:rsidP="00E345FB">
      <w:pPr>
        <w:suppressAutoHyphens/>
        <w:jc w:val="both"/>
        <w:rPr>
          <w:rFonts w:eastAsia="Times New Roman"/>
          <w:b/>
          <w:sz w:val="22"/>
          <w:szCs w:val="22"/>
          <w:lang w:val="en-GB" w:eastAsia="zh-CN"/>
        </w:rPr>
      </w:pPr>
    </w:p>
    <w:p w:rsidR="00CA7CF1" w:rsidRPr="00E345FB" w:rsidRDefault="00834CF0" w:rsidP="00E345FB">
      <w:pPr>
        <w:pStyle w:val="SAP-Level1HeadingSingleline"/>
        <w:keepNext/>
        <w:numPr>
          <w:ilvl w:val="0"/>
          <w:numId w:val="7"/>
        </w:numPr>
        <w:suppressAutoHyphens/>
        <w:spacing w:before="0" w:after="0" w:line="240" w:lineRule="auto"/>
        <w:ind w:left="288" w:hanging="288"/>
        <w:rPr>
          <w:sz w:val="22"/>
          <w:szCs w:val="22"/>
          <w:lang w:val="en-GB"/>
        </w:rPr>
      </w:pPr>
      <w:r w:rsidRPr="00E345FB">
        <w:rPr>
          <w:sz w:val="22"/>
          <w:szCs w:val="22"/>
          <w:lang w:val="en-GB"/>
        </w:rPr>
        <w:t>METHODS</w:t>
      </w:r>
    </w:p>
    <w:p w:rsidR="00F65566" w:rsidRPr="00E345FB" w:rsidRDefault="00F65566" w:rsidP="00E345FB">
      <w:pPr>
        <w:pStyle w:val="SAP-Paragraph"/>
        <w:suppressAutoHyphens/>
        <w:spacing w:line="240" w:lineRule="auto"/>
        <w:ind w:firstLineChars="0" w:firstLine="0"/>
        <w:rPr>
          <w:sz w:val="22"/>
          <w:szCs w:val="22"/>
          <w:lang w:val="en-GB"/>
        </w:rPr>
      </w:pPr>
      <w:r w:rsidRPr="00E345FB">
        <w:rPr>
          <w:sz w:val="22"/>
          <w:szCs w:val="22"/>
          <w:lang w:val="en-GB"/>
        </w:rPr>
        <w:t xml:space="preserve">Bibliometric data analysis provides a way to understand the intensity of research currents on a topic and the various areas of research explored by researchers. Bibliometric analysis is gaining popularity as one of the methods used to reveal trends and patterns of study </w:t>
      </w:r>
      <w:r w:rsidR="00064DD5" w:rsidRPr="00E345FB">
        <w:rPr>
          <w:sz w:val="22"/>
          <w:szCs w:val="22"/>
          <w:lang w:val="en-GB"/>
        </w:rPr>
        <w:fldChar w:fldCharType="begin" w:fldLock="1"/>
      </w:r>
      <w:r w:rsidRPr="00E345FB">
        <w:rPr>
          <w:sz w:val="22"/>
          <w:szCs w:val="22"/>
          <w:lang w:val="en-GB"/>
        </w:rPr>
        <w:instrText>ADDIN CSL_CITATION {"citationItems":[{"id":"ITEM-1","itemData":{"abstract":"FinTech, the word which is derived from “financial technology”, is the technology and innovation which their objectives are to offer better services and technologies in the financial services industry in the current and advanced technology age and the industrial revolution. Financial services such as banks, insurance, stock brokerage, investments and all other related services that manage money are nowadays depended more on the technology to gain competitive advantages and to help the decision- makers to make a better judgement for the businesses. With the growth of FinTech, there are various studies that have been conducted in this field. Thus, this study aims to present the current trend of the study on FinTech. This study adopted a bibliometric analysis based on the data obtained from the Scopus database. Based on the keywords used, which is related to the FinTech in the title of the article, the study manages to obtain 486 documents for further analysis. Various tools have been employed, such as Microsoft Excel to conduct the frequency analysis, VOSviewer for data visualization, and Harzing’s Publish or Perish for citation metrics and analysis. This study reports the results using standard bibliometric indicators such as publication year, document type, source type, source title, languages, subject area, keywords analysis, geographical distribution, authorship, active institutions, and citation analysis. Based on our findings, there is a tremendous growth of publications on FinTech over the years since 2015. The increasing number of works on FinTech indicates the importance of technology on the financial services industry, and there are for sure some impacts on the economy and public lifestyle. Keywords:","author":[{"dropping-particle":"","family":"Ahmi","given":"Aidi","non-dropping-particle":"","parse-names":false,"suffix":""},{"dropping-particle":"","family":"Tapa","given":"Afiruddin","non-dropping-particle":"","parse-names":false,"suffix":""},{"dropping-particle":"","family":"Hamzah","given":"Ahmad Husni","non-dropping-particle":"","parse-names":false,"suffix":""}],"container-title":"International Journal of Advanced Science and Technology","id":"ITEM-1","issue":"8","issued":{"date-parts":[["2020"]]},"page":"379-392","title":"Mapping of Financial Technology (FinTech) Research: A Bibliometric Analysis","type":"article-journal","volume":"29"},"uris":["http://www.mendeley.com/documents/?uuid=d39e3744-6005-47f0-a1e4-f5fae9a824ea"]}],"mendeley":{"formattedCitation":"(Ahmi et al., 2020)","plainTextFormattedCitation":"(Ahmi et al., 2020)","previouslyFormattedCitation":"(Ahmi et al., 2020)"},"properties":{"noteIndex":0},"schema":"https://github.com/citation-style-language/schema/raw/master/csl-citation.json"}</w:instrText>
      </w:r>
      <w:r w:rsidR="00064DD5" w:rsidRPr="00E345FB">
        <w:rPr>
          <w:sz w:val="22"/>
          <w:szCs w:val="22"/>
          <w:lang w:val="en-GB"/>
        </w:rPr>
        <w:fldChar w:fldCharType="separate"/>
      </w:r>
      <w:r w:rsidRPr="00E345FB">
        <w:rPr>
          <w:noProof/>
          <w:sz w:val="22"/>
          <w:szCs w:val="22"/>
          <w:lang w:val="en-GB"/>
        </w:rPr>
        <w:t>(Ahmi et al., 2020)</w:t>
      </w:r>
      <w:r w:rsidR="00064DD5" w:rsidRPr="00E345FB">
        <w:rPr>
          <w:sz w:val="22"/>
          <w:szCs w:val="22"/>
          <w:lang w:val="en-GB"/>
        </w:rPr>
        <w:fldChar w:fldCharType="end"/>
      </w:r>
      <w:r w:rsidRPr="00E345FB">
        <w:rPr>
          <w:sz w:val="22"/>
          <w:szCs w:val="22"/>
          <w:lang w:val="en-GB"/>
        </w:rPr>
        <w:t xml:space="preserve">. The study's </w:t>
      </w:r>
      <w:r w:rsidR="00405FB4" w:rsidRPr="00E345FB">
        <w:rPr>
          <w:sz w:val="22"/>
          <w:szCs w:val="22"/>
          <w:lang w:val="en-GB"/>
        </w:rPr>
        <w:t>design</w:t>
      </w:r>
      <w:r w:rsidRPr="00E345FB">
        <w:rPr>
          <w:sz w:val="22"/>
          <w:szCs w:val="22"/>
          <w:lang w:val="en-GB"/>
        </w:rPr>
        <w:t xml:space="preserve"> can be observed by </w:t>
      </w:r>
      <w:r w:rsidR="00405FB4" w:rsidRPr="00E345FB">
        <w:rPr>
          <w:sz w:val="22"/>
          <w:szCs w:val="22"/>
          <w:lang w:val="en-GB"/>
        </w:rPr>
        <w:t>classifying</w:t>
      </w:r>
      <w:r w:rsidRPr="00E345FB">
        <w:rPr>
          <w:sz w:val="22"/>
          <w:szCs w:val="22"/>
          <w:lang w:val="en-GB"/>
        </w:rPr>
        <w:t xml:space="preserve"> publications by year, author, affiliation</w:t>
      </w:r>
      <w:r w:rsidR="00497C52" w:rsidRPr="00E345FB">
        <w:rPr>
          <w:sz w:val="22"/>
          <w:szCs w:val="22"/>
          <w:lang w:val="en-GB"/>
        </w:rPr>
        <w:t>,</w:t>
      </w:r>
      <w:r w:rsidRPr="00E345FB">
        <w:rPr>
          <w:sz w:val="22"/>
          <w:szCs w:val="22"/>
          <w:lang w:val="en-GB"/>
        </w:rPr>
        <w:t xml:space="preserve"> or country. The </w:t>
      </w:r>
      <w:r w:rsidR="00497C52" w:rsidRPr="00E345FB">
        <w:rPr>
          <w:sz w:val="22"/>
          <w:szCs w:val="22"/>
          <w:lang w:val="en-GB"/>
        </w:rPr>
        <w:t>journal</w:t>
      </w:r>
      <w:r w:rsidRPr="00E345FB">
        <w:rPr>
          <w:sz w:val="22"/>
          <w:szCs w:val="22"/>
          <w:lang w:val="en-GB"/>
        </w:rPr>
        <w:t xml:space="preserve"> can also be measured based on its impact and performance using matrices such as citation number, citation per year, h index</w:t>
      </w:r>
      <w:r w:rsidR="00497C52" w:rsidRPr="00E345FB">
        <w:rPr>
          <w:sz w:val="22"/>
          <w:szCs w:val="22"/>
          <w:lang w:val="en-GB"/>
        </w:rPr>
        <w:t>,</w:t>
      </w:r>
      <w:r w:rsidRPr="00E345FB">
        <w:rPr>
          <w:sz w:val="22"/>
          <w:szCs w:val="22"/>
          <w:lang w:val="en-GB"/>
        </w:rPr>
        <w:t xml:space="preserve"> and g index. The increasing number of studies that have been conducted using bibliometric analysis is due to the handiness of data that can be downloaded from academic databases (such as Scopus, Web of Science</w:t>
      </w:r>
      <w:r w:rsidR="00497C52" w:rsidRPr="00E345FB">
        <w:rPr>
          <w:sz w:val="22"/>
          <w:szCs w:val="22"/>
          <w:lang w:val="en-GB"/>
        </w:rPr>
        <w:t>,</w:t>
      </w:r>
      <w:r w:rsidRPr="00E345FB">
        <w:rPr>
          <w:sz w:val="22"/>
          <w:szCs w:val="22"/>
          <w:lang w:val="en-GB"/>
        </w:rPr>
        <w:t xml:space="preserve"> and </w:t>
      </w:r>
      <w:r w:rsidR="0069094D" w:rsidRPr="00E345FB">
        <w:rPr>
          <w:sz w:val="22"/>
          <w:szCs w:val="22"/>
          <w:lang w:val="en-GB"/>
        </w:rPr>
        <w:t>d</w:t>
      </w:r>
      <w:r w:rsidRPr="00E345FB">
        <w:rPr>
          <w:sz w:val="22"/>
          <w:szCs w:val="22"/>
          <w:lang w:val="en-GB"/>
        </w:rPr>
        <w:t xml:space="preserve">imensions) and the availability of tools (such as VOSviewer, CitNetExplorer, and CiteSpace </w:t>
      </w:r>
      <w:r w:rsidR="00064DD5" w:rsidRPr="00E345FB">
        <w:rPr>
          <w:sz w:val="22"/>
          <w:szCs w:val="22"/>
          <w:lang w:val="en-GB"/>
        </w:rPr>
        <w:fldChar w:fldCharType="begin" w:fldLock="1"/>
      </w:r>
      <w:r w:rsidR="0036746B" w:rsidRPr="00E345FB">
        <w:rPr>
          <w:sz w:val="22"/>
          <w:szCs w:val="22"/>
          <w:lang w:val="en-GB"/>
        </w:rPr>
        <w:instrText>ADDIN CSL_CITATION {"citationItems":[{"id":"ITEM-1","itemData":{"DOI":"10.1080/00218839.2021.1898789","ISSN":"20786913","abstract":"Scientific research on honey has grown substantially over the past decades, accumulating more evidence on its role in complementary and alternative medicine. We conducted a bibliometric analysis of honey research from 2011 to 2020 to see the trend of publications in this study area. Based on the keywords used, which are related to honey in the article title, the study retrieved 4,433 documents for further analysis. VOSviewer software was used to create maps based on network data of scientific publications displaying relationships among researchers, countries, and scientific journals. Author keywords were used to explore the co-occurrence of different terms connected to honey research. Results reveal close and strong interconnections between the top authors suggesting a considerable strong research link. The top country researching on honey was the United States, while the top journal was Food Chemistry. In terms of co-occurrence, the top author keywords were “honey”, “antioxidant”, “chemometric”, “Manuka honey” and “antibacterial”. These analyses of the existing work provide a valuable and important reference for researchers and practitioners in honey research communities.","author":[{"dropping-particle":"","family":"Zakaria","given":"Rahimah","non-dropping-particle":"","parse-names":false,"suffix":""},{"dropping-particle":"","family":"Ahmi","given":"Aidi","non-dropping-particle":"","parse-names":false,"suffix":""},{"dropping-particle":"","family":"Ahmad","given":"Asma Hayati","non-dropping-particle":"","parse-names":false,"suffix":""},{"dropping-particle":"","family":"Othman","given":"Zahiruddin","non-dropping-particle":"","parse-names":false,"suffix":""},{"dropping-particle":"","family":"Azman","given":"Khairunnuur Fairuz","non-dropping-particle":"","parse-names":false,"suffix":""},{"dropping-particle":"","family":"Ab Aziz","given":"Che Badariah","non-dropping-particle":"","parse-names":false,"suffix":""},{"dropping-particle":"","family":"Ismail","given":"Che Aishah Nazariah","non-dropping-particle":"","parse-names":false,"suffix":""},{"dropping-particle":"","family":"Shafin","given":"Nazlahshaniza","non-dropping-particle":"","parse-names":false,"suffix":""}],"container-title":"Journal of Apicultural Research","id":"ITEM-1","issue":"3","issued":{"date-parts":[["2021"]]},"page":"359-368","publisher":"Taylor &amp; Francis","title":"Visualising and mapping a decade of literature on honey research: a bibliometric analysis from 2011 to 2020","type":"article-journal","volume":"60"},"uris":["http://www.mendeley.com/documents/?uuid=be28868c-f9e1-464c-b28b-0e68213b0760"]}],"mendeley":{"formattedCitation":"(Zakaria, Ahmi, Ahmad, Othman, et al., 2021)","plainTextFormattedCitation":"(Zakaria, Ahmi, Ahmad, Othman, et al., 2021)","previouslyFormattedCitation":"(Zakaria, Ahmi, Ahmad, Othman, et al., 2021)"},"properties":{"noteIndex":0},"schema":"https://github.com/citation-style-language/schema/raw/master/csl-citation.json"}</w:instrText>
      </w:r>
      <w:r w:rsidR="00064DD5" w:rsidRPr="00E345FB">
        <w:rPr>
          <w:sz w:val="22"/>
          <w:szCs w:val="22"/>
          <w:lang w:val="en-GB"/>
        </w:rPr>
        <w:fldChar w:fldCharType="separate"/>
      </w:r>
      <w:r w:rsidR="00405FB4" w:rsidRPr="00E345FB">
        <w:rPr>
          <w:noProof/>
          <w:sz w:val="22"/>
          <w:szCs w:val="22"/>
          <w:lang w:val="en-GB"/>
        </w:rPr>
        <w:t>(Zakaria, Ahmi, Ahmad, Othman, et al., 2021)</w:t>
      </w:r>
      <w:r w:rsidR="00064DD5" w:rsidRPr="00E345FB">
        <w:rPr>
          <w:sz w:val="22"/>
          <w:szCs w:val="22"/>
          <w:lang w:val="en-GB"/>
        </w:rPr>
        <w:fldChar w:fldCharType="end"/>
      </w:r>
      <w:r w:rsidR="0069094D" w:rsidRPr="00E345FB">
        <w:rPr>
          <w:sz w:val="22"/>
          <w:szCs w:val="22"/>
          <w:lang w:val="en-GB"/>
        </w:rPr>
        <w:t>.</w:t>
      </w:r>
    </w:p>
    <w:p w:rsidR="00C95A28" w:rsidRPr="00E345FB" w:rsidRDefault="00C95A28" w:rsidP="00E345FB">
      <w:pPr>
        <w:pStyle w:val="SAP-Paragraph"/>
        <w:suppressAutoHyphens/>
        <w:spacing w:line="240" w:lineRule="auto"/>
        <w:ind w:firstLineChars="0" w:firstLine="0"/>
        <w:rPr>
          <w:sz w:val="22"/>
          <w:szCs w:val="22"/>
          <w:lang w:val="en-GB"/>
        </w:rPr>
      </w:pPr>
    </w:p>
    <w:p w:rsidR="00C10567" w:rsidRPr="00E345FB" w:rsidRDefault="00F65566" w:rsidP="00E345FB">
      <w:pPr>
        <w:pStyle w:val="SAP-Paragraph"/>
        <w:suppressAutoHyphens/>
        <w:spacing w:line="240" w:lineRule="auto"/>
        <w:ind w:firstLine="220"/>
        <w:rPr>
          <w:sz w:val="22"/>
          <w:szCs w:val="22"/>
          <w:lang w:val="en-GB"/>
        </w:rPr>
      </w:pPr>
      <w:r w:rsidRPr="00E345FB">
        <w:rPr>
          <w:sz w:val="22"/>
          <w:szCs w:val="22"/>
          <w:lang w:val="en-GB"/>
        </w:rPr>
        <w:t xml:space="preserve">This study used a bibliometric data analysis method to create a network map of research literature on design thinking. Bibliometric analysis was performed using the Scopus database </w:t>
      </w:r>
      <w:r w:rsidR="00C95A28" w:rsidRPr="00E345FB">
        <w:rPr>
          <w:sz w:val="22"/>
          <w:szCs w:val="22"/>
          <w:lang w:val="en-GB"/>
        </w:rPr>
        <w:t>on9 March 2022</w:t>
      </w:r>
      <w:r w:rsidRPr="00E345FB">
        <w:rPr>
          <w:sz w:val="22"/>
          <w:szCs w:val="22"/>
          <w:lang w:val="en-GB"/>
        </w:rPr>
        <w:t xml:space="preserve">. Scopus database was chosen as the data source of this research because it contains more publications on thinking calculation and its extensive coverage in educational and social science publications </w:t>
      </w:r>
      <w:r w:rsidR="00064DD5" w:rsidRPr="00E345FB">
        <w:rPr>
          <w:sz w:val="22"/>
          <w:szCs w:val="22"/>
          <w:lang w:val="en-GB"/>
        </w:rPr>
        <w:fldChar w:fldCharType="begin" w:fldLock="1"/>
      </w:r>
      <w:r w:rsidRPr="00E345FB">
        <w:rPr>
          <w:sz w:val="22"/>
          <w:szCs w:val="22"/>
          <w:lang w:val="en-GB"/>
        </w:rPr>
        <w:instrText>ADDIN CSL_CITATION {"citationItems":[{"id":"ITEM-1","itemData":{"DOI":"10.1007/s11192-015-1765-5","ISSN":"15882861","abstract":"Bibliometric methods are used in multiple fields for a variety of purposes, namely for research evaluation. Most bibliometric analyses have in common their data sources: Thomson Reuters’ Web of Science (WoS) and Elsevier’s Scopus. The objective of this research is to describe the journal coverage of those two databases and to assess whether some field, publishing country and language are over or underrepresented. To do this we compared the coverage of active scholarly journals in WoS (13,605 journals) and Scopus (20,346 journals) with Ulrich’s extensive periodical directory (63,013 journals). Results indicate that the use of either WoS or Scopus for research evaluation may introduce biases that favor Natural Sciences and Engineering as well as Biomedical Research to the detriment of Social Sciences and Arts and Humanities. Similarly, English-language journals are overrepresented to the detriment of other languages. While both databases share these biases, their coverage differs substantially. As a consequence, the results of bibliometric analyses may vary depending on the database used. These results imply that in the context of comparative research evaluation, WoS and Scopus should be used with caution, especially when comparing different fields, institutions, countries or languages. The bibliometric community should continue its efforts to develop methods and indicators that include scientific output that are not covered in WoS or Scopus, such as field-specific and national citation indexes.","author":[{"dropping-particle":"","family":"Mongeon","given":"Philippe","non-dropping-particle":"","parse-names":false,"suffix":""},{"dropping-particle":"","family":"Paul-Hus","given":"Adèle","non-dropping-particle":"","parse-names":false,"suffix":""}],"container-title":"Scientometrics","id":"ITEM-1","issue":"1","issued":{"date-parts":[["2016"]]},"page":"213-228","title":"The journal coverage of Web of Science and Scopus: a comparative analysis","type":"article-journal","volume":"106"},"uris":["http://www.mendeley.com/documents/?uuid=befba6ab-750c-4092-8388-b462d3ef4f77"]}],"mendeley":{"formattedCitation":"(Mongeon &amp; Paul-Hus, 2016)","plainTextFormattedCitation":"(Mongeon &amp; Paul-Hus, 2016)","previouslyFormattedCitation":"(Mongeon &amp; Paul-Hus, 2016)"},"properties":{"noteIndex":0},"schema":"https://github.com/citation-style-language/schema/raw/master/csl-citation.json"}</w:instrText>
      </w:r>
      <w:r w:rsidR="00064DD5" w:rsidRPr="00E345FB">
        <w:rPr>
          <w:sz w:val="22"/>
          <w:szCs w:val="22"/>
          <w:lang w:val="en-GB"/>
        </w:rPr>
        <w:fldChar w:fldCharType="separate"/>
      </w:r>
      <w:r w:rsidRPr="00E345FB">
        <w:rPr>
          <w:noProof/>
          <w:sz w:val="22"/>
          <w:szCs w:val="22"/>
          <w:lang w:val="en-GB"/>
        </w:rPr>
        <w:t>(Mongeon &amp; Paul-Hus, 2016)</w:t>
      </w:r>
      <w:r w:rsidR="00064DD5" w:rsidRPr="00E345FB">
        <w:rPr>
          <w:sz w:val="22"/>
          <w:szCs w:val="22"/>
          <w:lang w:val="en-GB"/>
        </w:rPr>
        <w:fldChar w:fldCharType="end"/>
      </w:r>
      <w:r w:rsidRPr="00E345FB">
        <w:rPr>
          <w:sz w:val="22"/>
          <w:szCs w:val="22"/>
          <w:lang w:val="en-GB"/>
        </w:rPr>
        <w:t xml:space="preserve">. The search term </w:t>
      </w:r>
      <w:r w:rsidR="0069094D" w:rsidRPr="00E345FB">
        <w:rPr>
          <w:sz w:val="22"/>
          <w:szCs w:val="22"/>
          <w:lang w:val="en-GB"/>
        </w:rPr>
        <w:t>“</w:t>
      </w:r>
      <w:r w:rsidRPr="00E345FB">
        <w:rPr>
          <w:sz w:val="22"/>
          <w:szCs w:val="22"/>
          <w:lang w:val="en-GB"/>
        </w:rPr>
        <w:t>design thinking</w:t>
      </w:r>
      <w:r w:rsidR="0069094D" w:rsidRPr="00E345FB">
        <w:rPr>
          <w:sz w:val="22"/>
          <w:szCs w:val="22"/>
          <w:lang w:val="en-GB"/>
        </w:rPr>
        <w:t>”</w:t>
      </w:r>
      <w:r w:rsidR="00405FB4" w:rsidRPr="00E345FB">
        <w:rPr>
          <w:sz w:val="22"/>
          <w:szCs w:val="22"/>
          <w:lang w:val="en-GB"/>
        </w:rPr>
        <w:t xml:space="preserve">in the article’s title is used to find </w:t>
      </w:r>
      <w:r w:rsidRPr="00E345FB">
        <w:rPr>
          <w:sz w:val="22"/>
          <w:szCs w:val="22"/>
          <w:lang w:val="en-GB"/>
        </w:rPr>
        <w:t xml:space="preserve">articles published in any language related to research on </w:t>
      </w:r>
      <w:r w:rsidR="0069094D" w:rsidRPr="00E345FB">
        <w:rPr>
          <w:sz w:val="22"/>
          <w:szCs w:val="22"/>
          <w:lang w:val="en-GB"/>
        </w:rPr>
        <w:t>design thinking</w:t>
      </w:r>
      <w:r w:rsidRPr="00E345FB">
        <w:rPr>
          <w:sz w:val="22"/>
          <w:szCs w:val="22"/>
          <w:lang w:val="en-GB"/>
        </w:rPr>
        <w:t xml:space="preserve">. We focus on the </w:t>
      </w:r>
      <w:r w:rsidR="00405FB4" w:rsidRPr="00E345FB">
        <w:rPr>
          <w:sz w:val="22"/>
          <w:szCs w:val="22"/>
          <w:lang w:val="en-GB"/>
        </w:rPr>
        <w:t>article’s title</w:t>
      </w:r>
      <w:r w:rsidRPr="00E345FB">
        <w:rPr>
          <w:sz w:val="22"/>
          <w:szCs w:val="22"/>
          <w:lang w:val="en-GB"/>
        </w:rPr>
        <w:t xml:space="preserve"> because it is the first element that the reader will notice </w:t>
      </w:r>
      <w:r w:rsidR="00064DD5" w:rsidRPr="00E345FB">
        <w:rPr>
          <w:sz w:val="22"/>
          <w:szCs w:val="22"/>
          <w:lang w:val="en-GB"/>
        </w:rPr>
        <w:fldChar w:fldCharType="begin" w:fldLock="1"/>
      </w:r>
      <w:r w:rsidR="00405FB4" w:rsidRPr="00E345FB">
        <w:rPr>
          <w:sz w:val="22"/>
          <w:szCs w:val="22"/>
          <w:lang w:val="en-GB"/>
        </w:rPr>
        <w:instrText>ADDIN CSL_CITATION {"citationItems":[{"id":"ITEM-1","itemData":{"DOI":"10.1373/clinchem.2009.141523","ISSN":"00099147","PMID":"20044445","author":[{"dropping-particle":"","family":"Annesley","given":"Thomas M.","non-dropping-particle":"","parse-names":false,"suffix":""}],"container-title":"Clinical Chemistry","id":"ITEM-1","issue":"3","issued":{"date-parts":[["2010"]]},"page":"357-360","title":"The title says it all","type":"article-journal","volume":"56"},"uris":["http://www.mendeley.com/documents/?uuid=7f7287cf-90a8-4563-b53c-9d5ecd812b11"]}],"mendeley":{"formattedCitation":"(Annesley, 2010)","plainTextFormattedCitation":"(Annesley, 2010)","previouslyFormattedCitation":"(Annesley, 2010)"},"properties":{"noteIndex":0},"schema":"https://github.com/citation-style-language/schema/raw/master/csl-citation.json"}</w:instrText>
      </w:r>
      <w:r w:rsidR="00064DD5" w:rsidRPr="00E345FB">
        <w:rPr>
          <w:sz w:val="22"/>
          <w:szCs w:val="22"/>
          <w:lang w:val="en-GB"/>
        </w:rPr>
        <w:fldChar w:fldCharType="separate"/>
      </w:r>
      <w:r w:rsidRPr="00E345FB">
        <w:rPr>
          <w:noProof/>
          <w:sz w:val="22"/>
          <w:szCs w:val="22"/>
          <w:lang w:val="en-GB"/>
        </w:rPr>
        <w:t>(Annesley, 2010)</w:t>
      </w:r>
      <w:r w:rsidR="00064DD5" w:rsidRPr="00E345FB">
        <w:rPr>
          <w:sz w:val="22"/>
          <w:szCs w:val="22"/>
          <w:lang w:val="en-GB"/>
        </w:rPr>
        <w:fldChar w:fldCharType="end"/>
      </w:r>
      <w:r w:rsidRPr="00E345FB">
        <w:rPr>
          <w:sz w:val="22"/>
          <w:szCs w:val="22"/>
          <w:lang w:val="en-GB"/>
        </w:rPr>
        <w:t xml:space="preserve">. It represents relevant topics important to the research area and the </w:t>
      </w:r>
      <w:r w:rsidR="00405FB4" w:rsidRPr="00E345FB">
        <w:rPr>
          <w:sz w:val="22"/>
          <w:szCs w:val="22"/>
          <w:lang w:val="en-GB"/>
        </w:rPr>
        <w:t>study’s objectives</w:t>
      </w:r>
      <w:r w:rsidRPr="00E345FB">
        <w:rPr>
          <w:sz w:val="22"/>
          <w:szCs w:val="22"/>
          <w:lang w:val="en-GB"/>
        </w:rPr>
        <w:t xml:space="preserve">. We refined the search to the year of publication from 2000 to 2021 to identify the latest trends in design thinking research. This article helps to provide meaningful insights </w:t>
      </w:r>
      <w:r w:rsidR="00497C52" w:rsidRPr="00E345FB">
        <w:rPr>
          <w:sz w:val="22"/>
          <w:szCs w:val="22"/>
          <w:lang w:val="en-GB"/>
        </w:rPr>
        <w:t>into</w:t>
      </w:r>
      <w:r w:rsidRPr="00E345FB">
        <w:rPr>
          <w:sz w:val="22"/>
          <w:szCs w:val="22"/>
          <w:lang w:val="en-GB"/>
        </w:rPr>
        <w:t xml:space="preserve"> the </w:t>
      </w:r>
      <w:r w:rsidR="00405FB4" w:rsidRPr="00E345FB">
        <w:rPr>
          <w:sz w:val="22"/>
          <w:szCs w:val="22"/>
          <w:lang w:val="en-GB"/>
        </w:rPr>
        <w:t>direction</w:t>
      </w:r>
      <w:r w:rsidRPr="00E345FB">
        <w:rPr>
          <w:sz w:val="22"/>
          <w:szCs w:val="22"/>
          <w:lang w:val="en-GB"/>
        </w:rPr>
        <w:t xml:space="preserve"> of previous publications </w:t>
      </w:r>
      <w:r w:rsidR="00405FB4" w:rsidRPr="00E345FB">
        <w:rPr>
          <w:sz w:val="22"/>
          <w:szCs w:val="22"/>
          <w:lang w:val="en-GB"/>
        </w:rPr>
        <w:t>on</w:t>
      </w:r>
      <w:r w:rsidRPr="00E345FB">
        <w:rPr>
          <w:sz w:val="22"/>
          <w:szCs w:val="22"/>
          <w:lang w:val="en-GB"/>
        </w:rPr>
        <w:t xml:space="preserve"> this research topic</w:t>
      </w:r>
      <w:r w:rsidR="00405FB4" w:rsidRPr="00E345FB">
        <w:rPr>
          <w:sz w:val="22"/>
          <w:szCs w:val="22"/>
          <w:lang w:val="en-GB"/>
        </w:rPr>
        <w:t>. This</w:t>
      </w:r>
      <w:r w:rsidRPr="00E345FB">
        <w:rPr>
          <w:sz w:val="22"/>
          <w:szCs w:val="22"/>
          <w:lang w:val="en-GB"/>
        </w:rPr>
        <w:t xml:space="preserve"> study has implemented the PRISMA guidelines </w:t>
      </w:r>
      <w:r w:rsidR="00064DD5" w:rsidRPr="00E345FB">
        <w:rPr>
          <w:sz w:val="22"/>
          <w:szCs w:val="22"/>
          <w:lang w:val="en-GB"/>
        </w:rPr>
        <w:fldChar w:fldCharType="begin" w:fldLock="1"/>
      </w:r>
      <w:r w:rsidR="0036746B" w:rsidRPr="00E345FB">
        <w:rPr>
          <w:sz w:val="22"/>
          <w:szCs w:val="22"/>
          <w:lang w:val="en-GB"/>
        </w:rPr>
        <w:instrText>ADDIN CSL_CITATION {"citationItems":[{"id":"ITEM-1","itemData":{"DOI":"10.1080/07420528.2020.1838534","ISSN":"15256073","PMID":"33164592","abstract":"This study presents a bibliometric analysis of the publications on melatonin research from the Scopus database during the period 2015–2019. Based on the keywords used, which are related to melatonin in the article title, the study retrieved 4411 documents for further analysis using various tools. We used Microsoft Excel to conduct the frequency analysis, VOSviewer for data visualization, and Harzing’s Publish or Perish for citation metrics and analysis. This study reports the results using standard bibliometric indicators such as the growth of publications, authorship patterns, collaboration, and prolific authors, country contribution, most active institutions, preferred journals, and top-cited articles. Based on our findings, there is a continuous growth of publications on melatonin research for 5 years since 2015. China was the largest contributor to melatonin research, followed by the United States. The Journal of Pineal Research published the most number of publications related to melatonin research. Our findings suggest that the role of melatonin in plant and food sciences, as well as in cancer, may in later years take over the clusters that earlier dominated melatonin research.","author":[{"dropping-particle":"","family":"Zakaria","given":"Rahimah","non-dropping-particle":"","parse-names":false,"suffix":""},{"dropping-particle":"","family":"Ahmi","given":"Aidi","non-dropping-particle":"","parse-names":false,"suffix":""},{"dropping-particle":"","family":"Ahmad","given":"Asma Hayati","non-dropping-particle":"","parse-names":false,"suffix":""},{"dropping-particle":"","family":"Othman","given":"Zahiruddin","non-dropping-particle":"","parse-names":false,"suffix":""}],"container-title":"Chronobiology International","id":"ITEM-1","issue":"1","issued":{"date-parts":[["2021"]]},"page":"27-37","publisher":"Taylor &amp; Francis","title":"Worldwide melatonin research: a bibliometric analysis of the published literature between 2015 and 2019","type":"article-journal","volume":"38"},"uris":["http://www.mendeley.com/documents/?uuid=2e448b77-bd29-4b46-a869-271f4ed95d83"]}],"mendeley":{"formattedCitation":"(Zakaria, Ahmi, Ahmad, &amp; Othman, 2021)","plainTextFormattedCitation":"(Zakaria, Ahmi, Ahmad, &amp; Othman, 2021)","previouslyFormattedCitation":"(Zakaria, Ahmi, Ahmad, &amp; Othman, 2021)"},"properties":{"noteIndex":0},"schema":"https://github.com/citation-style-language/schema/raw/master/csl-citation.json"}</w:instrText>
      </w:r>
      <w:r w:rsidR="00064DD5" w:rsidRPr="00E345FB">
        <w:rPr>
          <w:sz w:val="22"/>
          <w:szCs w:val="22"/>
          <w:lang w:val="en-GB"/>
        </w:rPr>
        <w:fldChar w:fldCharType="separate"/>
      </w:r>
      <w:r w:rsidR="00405FB4" w:rsidRPr="00E345FB">
        <w:rPr>
          <w:noProof/>
          <w:sz w:val="22"/>
          <w:szCs w:val="22"/>
          <w:lang w:val="en-GB"/>
        </w:rPr>
        <w:t>(Zakaria, Ahmi, Ahmad, &amp; Othman, 2021)</w:t>
      </w:r>
      <w:r w:rsidR="00064DD5" w:rsidRPr="00E345FB">
        <w:rPr>
          <w:sz w:val="22"/>
          <w:szCs w:val="22"/>
          <w:lang w:val="en-GB"/>
        </w:rPr>
        <w:fldChar w:fldCharType="end"/>
      </w:r>
      <w:r w:rsidR="00405FB4" w:rsidRPr="00E345FB">
        <w:rPr>
          <w:sz w:val="22"/>
          <w:szCs w:val="22"/>
          <w:lang w:val="en-GB"/>
        </w:rPr>
        <w:t>,</w:t>
      </w:r>
      <w:r w:rsidRPr="00E345FB">
        <w:rPr>
          <w:sz w:val="22"/>
          <w:szCs w:val="22"/>
          <w:lang w:val="en-GB"/>
        </w:rPr>
        <w:t xml:space="preserve"> and a detailed flow chart for our search strategy is </w:t>
      </w:r>
      <w:r w:rsidRPr="00E345FB">
        <w:rPr>
          <w:sz w:val="22"/>
          <w:szCs w:val="22"/>
          <w:lang w:val="en-GB"/>
        </w:rPr>
        <w:lastRenderedPageBreak/>
        <w:t>shown in Figure 1. All documents are subject to bibliometric analysis. We used (i) Microsoft Excel 2016 to calculate the frequency and percentage of material published and to generate relevant charts and graphs; (ii) VOSviewer (version 1.6.15) to create and visualize bibliometric networks, analyze and describe abstract keywords and authors, as well as relationships and collaborations between authors, countries, and publications in data sets; and (iii) Harzing’s Publish and Perish software to calculate citation metrics.</w:t>
      </w:r>
    </w:p>
    <w:p w:rsidR="005F7431" w:rsidRPr="00E345FB" w:rsidRDefault="005F7431" w:rsidP="00E345FB">
      <w:pPr>
        <w:pStyle w:val="SAP-Paragraph"/>
        <w:suppressAutoHyphens/>
        <w:spacing w:line="240" w:lineRule="auto"/>
        <w:ind w:firstLine="220"/>
        <w:rPr>
          <w:sz w:val="22"/>
          <w:szCs w:val="22"/>
          <w:lang w:val="en-GB"/>
        </w:rPr>
      </w:pPr>
    </w:p>
    <w:p w:rsidR="005F7431" w:rsidRPr="00E345FB" w:rsidRDefault="00727E24" w:rsidP="00E345FB">
      <w:pPr>
        <w:pStyle w:val="SAP-Paragraph"/>
        <w:suppressAutoHyphens/>
        <w:spacing w:line="240" w:lineRule="auto"/>
        <w:ind w:firstLineChars="0" w:firstLine="0"/>
        <w:rPr>
          <w:sz w:val="22"/>
          <w:szCs w:val="22"/>
          <w:lang w:val="en-GB"/>
        </w:rPr>
      </w:pPr>
      <w:r w:rsidRPr="00E345FB">
        <w:rPr>
          <w:sz w:val="22"/>
          <w:szCs w:val="22"/>
          <w:lang w:val="en-GB"/>
        </w:rPr>
        <w:t>The study addressed five specific research questions</w:t>
      </w:r>
      <w:r w:rsidR="00497C52" w:rsidRPr="00E345FB">
        <w:rPr>
          <w:sz w:val="22"/>
          <w:szCs w:val="22"/>
          <w:lang w:val="en-GB"/>
        </w:rPr>
        <w:t>.</w:t>
      </w:r>
    </w:p>
    <w:p w:rsidR="003F41D5" w:rsidRPr="00E345FB" w:rsidRDefault="003F41D5" w:rsidP="00E345FB">
      <w:pPr>
        <w:pStyle w:val="SAP-Paragraph"/>
        <w:suppressAutoHyphens/>
        <w:spacing w:line="240" w:lineRule="auto"/>
        <w:ind w:firstLineChars="326" w:firstLine="717"/>
        <w:rPr>
          <w:sz w:val="22"/>
          <w:szCs w:val="22"/>
          <w:lang w:val="en-GB"/>
        </w:rPr>
      </w:pPr>
      <w:r w:rsidRPr="00E345FB">
        <w:rPr>
          <w:sz w:val="22"/>
          <w:szCs w:val="22"/>
          <w:lang w:val="en-GB"/>
        </w:rPr>
        <w:t xml:space="preserve">RQ1. What are the publication growth and trends in design thinking? </w:t>
      </w:r>
    </w:p>
    <w:p w:rsidR="003F41D5" w:rsidRPr="00E345FB" w:rsidRDefault="003F41D5" w:rsidP="00E345FB">
      <w:pPr>
        <w:pStyle w:val="SAP-Paragraph"/>
        <w:suppressAutoHyphens/>
        <w:spacing w:line="240" w:lineRule="auto"/>
        <w:ind w:firstLineChars="327" w:firstLine="719"/>
        <w:rPr>
          <w:sz w:val="22"/>
          <w:szCs w:val="22"/>
          <w:lang w:val="en-GB"/>
        </w:rPr>
      </w:pPr>
      <w:r w:rsidRPr="00E345FB">
        <w:rPr>
          <w:sz w:val="22"/>
          <w:szCs w:val="22"/>
          <w:lang w:val="en-GB"/>
        </w:rPr>
        <w:t>RQ2. What are the most prolific and collaborating authors</w:t>
      </w:r>
      <w:r w:rsidR="00FF1960" w:rsidRPr="00E345FB">
        <w:rPr>
          <w:sz w:val="22"/>
          <w:szCs w:val="22"/>
          <w:lang w:val="en-GB"/>
        </w:rPr>
        <w:t xml:space="preserve"> and countries</w:t>
      </w:r>
      <w:r w:rsidRPr="00E345FB">
        <w:rPr>
          <w:sz w:val="22"/>
          <w:szCs w:val="22"/>
          <w:lang w:val="en-GB"/>
        </w:rPr>
        <w:t xml:space="preserve"> of design thinking? </w:t>
      </w:r>
    </w:p>
    <w:p w:rsidR="003F41D5" w:rsidRPr="00E345FB" w:rsidRDefault="003F41D5" w:rsidP="00E345FB">
      <w:pPr>
        <w:pStyle w:val="SAP-Paragraph"/>
        <w:suppressAutoHyphens/>
        <w:spacing w:line="240" w:lineRule="auto"/>
        <w:ind w:firstLineChars="327" w:firstLine="719"/>
        <w:rPr>
          <w:sz w:val="22"/>
          <w:szCs w:val="22"/>
          <w:lang w:val="en-GB"/>
        </w:rPr>
      </w:pPr>
      <w:r w:rsidRPr="00E345FB">
        <w:rPr>
          <w:sz w:val="22"/>
          <w:szCs w:val="22"/>
          <w:lang w:val="en-GB"/>
        </w:rPr>
        <w:t xml:space="preserve">RQ3. What are the most </w:t>
      </w:r>
      <w:r w:rsidR="00497C52" w:rsidRPr="00E345FB">
        <w:rPr>
          <w:sz w:val="22"/>
          <w:szCs w:val="22"/>
          <w:lang w:val="en-GB"/>
        </w:rPr>
        <w:t>collaboratingcountries’</w:t>
      </w:r>
      <w:r w:rsidRPr="00E345FB">
        <w:rPr>
          <w:sz w:val="22"/>
          <w:szCs w:val="22"/>
          <w:lang w:val="en-GB"/>
        </w:rPr>
        <w:t xml:space="preserve"> research on design thinking?</w:t>
      </w:r>
    </w:p>
    <w:p w:rsidR="003F41D5" w:rsidRPr="00E345FB" w:rsidRDefault="003F41D5" w:rsidP="00E345FB">
      <w:pPr>
        <w:pStyle w:val="SAP-Paragraph"/>
        <w:suppressAutoHyphens/>
        <w:spacing w:line="240" w:lineRule="auto"/>
        <w:ind w:firstLineChars="327" w:firstLine="719"/>
        <w:rPr>
          <w:sz w:val="22"/>
          <w:szCs w:val="22"/>
          <w:lang w:val="en-GB"/>
        </w:rPr>
      </w:pPr>
      <w:r w:rsidRPr="00E345FB">
        <w:rPr>
          <w:sz w:val="22"/>
          <w:szCs w:val="22"/>
          <w:lang w:val="en-GB"/>
        </w:rPr>
        <w:t xml:space="preserve">RQ4. </w:t>
      </w:r>
      <w:r w:rsidR="00FF1960" w:rsidRPr="00E345FB">
        <w:rPr>
          <w:sz w:val="22"/>
          <w:szCs w:val="22"/>
          <w:lang w:val="en-GB"/>
        </w:rPr>
        <w:t xml:space="preserve">What </w:t>
      </w:r>
      <w:r w:rsidR="00497C52" w:rsidRPr="00E345FB">
        <w:rPr>
          <w:sz w:val="22"/>
          <w:szCs w:val="22"/>
          <w:lang w:val="en-GB"/>
        </w:rPr>
        <w:t>are</w:t>
      </w:r>
      <w:r w:rsidR="00FF1960" w:rsidRPr="00E345FB">
        <w:rPr>
          <w:sz w:val="22"/>
          <w:szCs w:val="22"/>
          <w:lang w:val="en-GB"/>
        </w:rPr>
        <w:t xml:space="preserve"> the most cited and co-citedjournals on design thinking research?</w:t>
      </w:r>
    </w:p>
    <w:p w:rsidR="003F41D5" w:rsidRPr="00E345FB" w:rsidRDefault="003F41D5" w:rsidP="00E345FB">
      <w:pPr>
        <w:pStyle w:val="SAP-Paragraph"/>
        <w:suppressAutoHyphens/>
        <w:spacing w:line="240" w:lineRule="auto"/>
        <w:ind w:firstLineChars="327" w:firstLine="719"/>
        <w:rPr>
          <w:sz w:val="22"/>
          <w:szCs w:val="22"/>
          <w:lang w:val="en-GB"/>
        </w:rPr>
      </w:pPr>
      <w:r w:rsidRPr="00E345FB">
        <w:rPr>
          <w:sz w:val="22"/>
          <w:szCs w:val="22"/>
          <w:lang w:val="en-GB"/>
        </w:rPr>
        <w:t xml:space="preserve">RQ5.What are the most used authors’ keywords and </w:t>
      </w:r>
      <w:r w:rsidR="00FF1960" w:rsidRPr="00E345FB">
        <w:rPr>
          <w:sz w:val="22"/>
          <w:szCs w:val="22"/>
          <w:lang w:val="en-GB"/>
        </w:rPr>
        <w:t xml:space="preserve">subject areas </w:t>
      </w:r>
      <w:r w:rsidR="00497C52" w:rsidRPr="00E345FB">
        <w:rPr>
          <w:sz w:val="22"/>
          <w:szCs w:val="22"/>
          <w:lang w:val="en-GB"/>
        </w:rPr>
        <w:t>in</w:t>
      </w:r>
      <w:r w:rsidR="00727E24" w:rsidRPr="00E345FB">
        <w:rPr>
          <w:sz w:val="22"/>
          <w:szCs w:val="22"/>
          <w:lang w:val="en-GB"/>
        </w:rPr>
        <w:t>design thinking</w:t>
      </w:r>
      <w:r w:rsidRPr="00E345FB">
        <w:rPr>
          <w:sz w:val="22"/>
          <w:szCs w:val="22"/>
          <w:lang w:val="en-GB"/>
        </w:rPr>
        <w:t xml:space="preserve"> research?</w:t>
      </w:r>
    </w:p>
    <w:p w:rsidR="00727E24" w:rsidRPr="00E345FB" w:rsidRDefault="00727E24" w:rsidP="00E345FB">
      <w:pPr>
        <w:pStyle w:val="SAP-Paragraph"/>
        <w:suppressAutoHyphens/>
        <w:spacing w:line="240" w:lineRule="auto"/>
        <w:ind w:firstLineChars="327" w:firstLine="719"/>
        <w:rPr>
          <w:sz w:val="22"/>
          <w:szCs w:val="22"/>
          <w:lang w:val="en-GB"/>
        </w:rPr>
      </w:pPr>
    </w:p>
    <w:p w:rsidR="0036746B" w:rsidRPr="00E345FB" w:rsidRDefault="00CC72AD" w:rsidP="00E345FB">
      <w:pPr>
        <w:pStyle w:val="SAP-Level1HeadingSingleline"/>
        <w:keepNext/>
        <w:numPr>
          <w:ilvl w:val="0"/>
          <w:numId w:val="7"/>
        </w:numPr>
        <w:suppressAutoHyphens/>
        <w:spacing w:before="0" w:after="0" w:line="240" w:lineRule="auto"/>
        <w:ind w:left="288" w:hanging="288"/>
        <w:rPr>
          <w:sz w:val="22"/>
          <w:szCs w:val="22"/>
          <w:lang w:val="en-GB"/>
        </w:rPr>
      </w:pPr>
      <w:r w:rsidRPr="00E345FB">
        <w:rPr>
          <w:sz w:val="22"/>
          <w:szCs w:val="22"/>
          <w:lang w:val="en-GB"/>
        </w:rPr>
        <w:t>RESULTS AND DISCUSSIONS</w:t>
      </w:r>
    </w:p>
    <w:p w:rsidR="0036746B" w:rsidRPr="00E345FB" w:rsidRDefault="0036746B" w:rsidP="00E345FB">
      <w:pPr>
        <w:pStyle w:val="SAP-Paragraph"/>
        <w:suppressAutoHyphens/>
        <w:spacing w:line="240" w:lineRule="auto"/>
        <w:ind w:firstLineChars="0" w:firstLine="0"/>
        <w:rPr>
          <w:b/>
          <w:bCs/>
          <w:i/>
          <w:iCs/>
          <w:sz w:val="22"/>
          <w:szCs w:val="22"/>
          <w:lang w:val="en-GB"/>
        </w:rPr>
      </w:pPr>
      <w:r w:rsidRPr="00E345FB">
        <w:rPr>
          <w:b/>
          <w:bCs/>
          <w:i/>
          <w:iCs/>
          <w:sz w:val="22"/>
          <w:szCs w:val="22"/>
          <w:lang w:val="en-GB"/>
        </w:rPr>
        <w:t>Description of the recovered literature</w:t>
      </w:r>
    </w:p>
    <w:p w:rsidR="0036746B" w:rsidRPr="00E345FB" w:rsidRDefault="0036746B" w:rsidP="00E345FB">
      <w:pPr>
        <w:pStyle w:val="SAP-Paragraph"/>
        <w:suppressAutoHyphens/>
        <w:spacing w:line="240" w:lineRule="auto"/>
        <w:ind w:firstLine="220"/>
        <w:rPr>
          <w:sz w:val="22"/>
          <w:szCs w:val="22"/>
          <w:lang w:val="en-GB"/>
        </w:rPr>
      </w:pPr>
      <w:r w:rsidRPr="00E345FB">
        <w:rPr>
          <w:sz w:val="22"/>
          <w:szCs w:val="22"/>
          <w:lang w:val="en-GB"/>
        </w:rPr>
        <w:t>A total of 18</w:t>
      </w:r>
      <w:r w:rsidR="0069094D" w:rsidRPr="00E345FB">
        <w:rPr>
          <w:sz w:val="22"/>
          <w:szCs w:val="22"/>
          <w:lang w:val="en-GB"/>
        </w:rPr>
        <w:t>75</w:t>
      </w:r>
      <w:r w:rsidRPr="00E345FB">
        <w:rPr>
          <w:sz w:val="22"/>
          <w:szCs w:val="22"/>
          <w:lang w:val="en-GB"/>
        </w:rPr>
        <w:t xml:space="preserve"> documents were identified from the Scopus database based on document type and source type. </w:t>
      </w:r>
      <w:r w:rsidR="009A11B6" w:rsidRPr="00E345FB">
        <w:rPr>
          <w:sz w:val="22"/>
          <w:szCs w:val="22"/>
          <w:lang w:val="en-GB"/>
        </w:rPr>
        <w:t xml:space="preserve">Table </w:t>
      </w:r>
      <w:r w:rsidR="00691C32" w:rsidRPr="00E345FB">
        <w:rPr>
          <w:sz w:val="22"/>
          <w:szCs w:val="22"/>
          <w:lang w:val="en-GB"/>
        </w:rPr>
        <w:t>1</w:t>
      </w:r>
      <w:r w:rsidR="009A11B6" w:rsidRPr="00E345FB">
        <w:rPr>
          <w:sz w:val="22"/>
          <w:szCs w:val="22"/>
          <w:lang w:val="en-GB"/>
        </w:rPr>
        <w:t xml:space="preserve"> summarizes the type of published documents. </w:t>
      </w:r>
      <w:r w:rsidR="00B66814" w:rsidRPr="00E345FB">
        <w:rPr>
          <w:sz w:val="22"/>
          <w:szCs w:val="22"/>
          <w:lang w:val="en-GB"/>
        </w:rPr>
        <w:t xml:space="preserve">Ten documents have been published related to design thinking consisting of journal articles, </w:t>
      </w:r>
      <w:r w:rsidRPr="00E345FB">
        <w:rPr>
          <w:sz w:val="22"/>
          <w:szCs w:val="22"/>
          <w:lang w:val="en-GB"/>
        </w:rPr>
        <w:t>review articles, book chapters, letters, reviews, notes, editorials, brief reviews, books, and conference reviews.Journals accounted for the most (47.73%) of the total documents published, followed by conference proceedings (33.12%), book series (11.04%), books (7.25%), while trade journals only accounted for less than 1%of the total publications ( 0.85%).</w:t>
      </w:r>
    </w:p>
    <w:p w:rsidR="0036746B" w:rsidRPr="00E345FB" w:rsidRDefault="0036746B" w:rsidP="00E345FB">
      <w:pPr>
        <w:pStyle w:val="SAP-Paragraph"/>
        <w:suppressAutoHyphens/>
        <w:spacing w:line="240" w:lineRule="auto"/>
        <w:ind w:firstLineChars="0" w:firstLine="220"/>
        <w:rPr>
          <w:sz w:val="22"/>
          <w:szCs w:val="22"/>
          <w:lang w:val="en-GB"/>
        </w:rPr>
      </w:pPr>
      <w:r w:rsidRPr="00E345FB">
        <w:rPr>
          <w:sz w:val="22"/>
          <w:szCs w:val="22"/>
          <w:lang w:val="en-GB"/>
        </w:rPr>
        <w:t xml:space="preserve">The majority of </w:t>
      </w:r>
      <w:r w:rsidR="00497C52" w:rsidRPr="00E345FB">
        <w:rPr>
          <w:sz w:val="22"/>
          <w:szCs w:val="22"/>
          <w:lang w:val="en-GB"/>
        </w:rPr>
        <w:t>papers</w:t>
      </w:r>
      <w:r w:rsidRPr="00E345FB">
        <w:rPr>
          <w:sz w:val="22"/>
          <w:szCs w:val="22"/>
          <w:lang w:val="en-GB"/>
        </w:rPr>
        <w:t xml:space="preserve"> retrieved were published in English (95.97%), followed by Spanish (1.01%), Portuguese (0.85%), Chinese (0.80%), and German (0.53%). There are ten other languages found to be published with a total percentage below 0.1%, including French, Italian, Japanese, Croatian, Korean, and Malaysian.</w:t>
      </w:r>
    </w:p>
    <w:p w:rsidR="00947AD3" w:rsidRDefault="00947AD3" w:rsidP="00E345FB">
      <w:pPr>
        <w:pStyle w:val="SAP-Paragraph"/>
        <w:suppressAutoHyphens/>
        <w:spacing w:line="240" w:lineRule="auto"/>
        <w:ind w:firstLineChars="0" w:firstLine="0"/>
        <w:rPr>
          <w:noProof/>
          <w:sz w:val="22"/>
          <w:szCs w:val="22"/>
          <w:lang w:val="en-MY" w:eastAsia="en-MY"/>
        </w:rPr>
        <w:sectPr w:rsidR="00947AD3" w:rsidSect="00D56A64">
          <w:type w:val="continuous"/>
          <w:pgSz w:w="11907" w:h="16840" w:code="9"/>
          <w:pgMar w:top="1440" w:right="1440" w:bottom="1440" w:left="1440" w:header="709" w:footer="709" w:gutter="0"/>
          <w:pgNumType w:start="1022"/>
          <w:cols w:num="2" w:space="284"/>
          <w:docGrid w:linePitch="360"/>
        </w:sectPr>
      </w:pPr>
      <w:bookmarkStart w:id="2" w:name="_Hlk99124751"/>
      <w:bookmarkEnd w:id="2"/>
    </w:p>
    <w:p w:rsidR="004C162B" w:rsidRPr="00E345FB" w:rsidRDefault="00064DD5" w:rsidP="00E345FB">
      <w:pPr>
        <w:pStyle w:val="SAP-Paragraph"/>
        <w:suppressAutoHyphens/>
        <w:spacing w:line="240" w:lineRule="auto"/>
        <w:ind w:firstLineChars="0" w:firstLine="0"/>
        <w:rPr>
          <w:sz w:val="22"/>
          <w:szCs w:val="22"/>
          <w:lang w:val="en-GB"/>
        </w:rPr>
      </w:pPr>
      <w:r w:rsidRPr="00064DD5">
        <w:rPr>
          <w:noProof/>
          <w:sz w:val="22"/>
          <w:szCs w:val="22"/>
          <w:lang w:val="en-MY" w:eastAsia="en-MY"/>
        </w:rPr>
      </w:r>
      <w:r w:rsidRPr="00064DD5">
        <w:rPr>
          <w:noProof/>
          <w:sz w:val="22"/>
          <w:szCs w:val="22"/>
          <w:lang w:val="en-MY" w:eastAsia="en-MY"/>
        </w:rPr>
        <w:pict>
          <v:group id="Group 2" o:spid="_x0000_s1026" style="width:474.2pt;height:438.4pt;mso-position-horizontal-relative:char;mso-position-vertical-relative:line" coordsize="60226,55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">
            <v:rect id="Rectangle 42" o:spid="_x0000_s1027" style="position:absolute;left:26434;top:6434;width:33638;height:80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">
              <v:path arrowok="t"/>
              <v:textbox inset=",7.2pt,,7.2pt">
                <w:txbxContent>
                  <w:p w:rsidR="00E345FB" w:rsidRDefault="00E345FB" w:rsidP="00C06D9D">
                    <w:r>
                      <w:rPr>
                        <w:rFonts w:cstheme="minorBidi"/>
                        <w:b/>
                        <w:bCs/>
                        <w:sz w:val="20"/>
                        <w:szCs w:val="20"/>
                      </w:rPr>
                      <w:t>Database:</w:t>
                    </w:r>
                    <w:r>
                      <w:rPr>
                        <w:rFonts w:cstheme="minorBidi"/>
                        <w:sz w:val="20"/>
                        <w:szCs w:val="20"/>
                      </w:rPr>
                      <w:t xml:space="preserve"> Scopus</w:t>
                    </w:r>
                  </w:p>
                  <w:p w:rsidR="00E345FB" w:rsidRDefault="00E345FB" w:rsidP="00C06D9D">
                    <w:r>
                      <w:rPr>
                        <w:rFonts w:cstheme="minorBidi"/>
                        <w:b/>
                        <w:bCs/>
                        <w:sz w:val="20"/>
                        <w:szCs w:val="20"/>
                      </w:rPr>
                      <w:t>Search Field:</w:t>
                    </w:r>
                    <w:r>
                      <w:rPr>
                        <w:rFonts w:cstheme="minorBidi"/>
                        <w:sz w:val="20"/>
                        <w:szCs w:val="20"/>
                      </w:rPr>
                      <w:t>Design Thinking</w:t>
                    </w:r>
                  </w:p>
                  <w:p w:rsidR="00E345FB" w:rsidRDefault="00E345FB" w:rsidP="00C06D9D">
                    <w:r>
                      <w:rPr>
                        <w:rFonts w:cstheme="minorBidi"/>
                        <w:b/>
                        <w:bCs/>
                        <w:sz w:val="20"/>
                        <w:szCs w:val="20"/>
                      </w:rPr>
                      <w:t>Time Frame:</w:t>
                    </w:r>
                    <w:r>
                      <w:rPr>
                        <w:rFonts w:cstheme="minorBidi"/>
                        <w:sz w:val="20"/>
                        <w:szCs w:val="20"/>
                      </w:rPr>
                      <w:t>2020 - 2021</w:t>
                    </w:r>
                  </w:p>
                  <w:p w:rsidR="00E345FB" w:rsidRDefault="00E345FB" w:rsidP="00C06D9D">
                    <w:r>
                      <w:rPr>
                        <w:rFonts w:cstheme="minorBidi"/>
                        <w:b/>
                        <w:bCs/>
                        <w:sz w:val="20"/>
                        <w:szCs w:val="20"/>
                      </w:rPr>
                      <w:t>Language:</w:t>
                    </w:r>
                    <w:r>
                      <w:rPr>
                        <w:rFonts w:cstheme="minorBidi"/>
                        <w:sz w:val="20"/>
                        <w:szCs w:val="20"/>
                      </w:rPr>
                      <w:t>All</w:t>
                    </w:r>
                  </w:p>
                </w:txbxContent>
              </v:textbox>
            </v:rect>
            <v:rect id="Rectangle 43" o:spid="_x0000_s1028" style="position:absolute;left:26501;top:18347;width:33725;height:93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">
              <v:path arrowok="t"/>
              <v:textbox inset=",7.2pt,,7.2pt">
                <w:txbxContent>
                  <w:p w:rsidR="00E345FB" w:rsidRDefault="00E345FB" w:rsidP="00C06D9D">
                    <w:r>
                      <w:rPr>
                        <w:rFonts w:cstheme="minorBidi"/>
                        <w:sz w:val="21"/>
                        <w:szCs w:val="21"/>
                      </w:rPr>
                      <w:t>TITLE("Design Thinking”)</w:t>
                    </w:r>
                  </w:p>
                </w:txbxContent>
              </v:textbox>
            </v:rect>
            <v:rect id="Rectangle 44" o:spid="_x0000_s1029" style="position:absolute;left:7456;top:18347;width:13832;height:46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">
              <v:path arrowok="t"/>
              <v:textbox inset=",7.2pt,,7.2pt">
                <w:txbxContent>
                  <w:p w:rsidR="00E345FB" w:rsidRDefault="00E345FB" w:rsidP="00C06D9D">
                    <w:pPr>
                      <w:jc w:val="center"/>
                    </w:pPr>
                    <w:r>
                      <w:rPr>
                        <w:rFonts w:cstheme="minorBidi"/>
                        <w:sz w:val="20"/>
                        <w:szCs w:val="20"/>
                      </w:rPr>
                      <w:t>Keywords &amp; Search String</w:t>
                    </w:r>
                  </w:p>
                </w:txbxContent>
              </v:textbox>
            </v:rect>
            <v:rect id="Rectangle 45" o:spid="_x0000_s1030" style="position:absolute;left:26501;top:35059;width:8344;height:35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">
              <v:path arrowok="t"/>
              <v:textbox inset=",7.2pt,,7.2pt">
                <w:txbxContent>
                  <w:p w:rsidR="00E345FB" w:rsidRDefault="00E345FB" w:rsidP="00C06D9D">
                    <w:r>
                      <w:rPr>
                        <w:rFonts w:cstheme="minorBidi"/>
                        <w:sz w:val="20"/>
                        <w:szCs w:val="20"/>
                      </w:rPr>
                      <w:t>n = 1937</w:t>
                    </w:r>
                  </w:p>
                </w:txbxContent>
              </v:textbox>
            </v:rect>
            <v:rect id="Rectangle 46" o:spid="_x0000_s1031" style="position:absolute;left:7456;top:34554;width:13832;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">
              <v:path arrowok="t"/>
              <v:textbox inset=",7.2pt,,7.2pt">
                <w:txbxContent>
                  <w:p w:rsidR="00E345FB" w:rsidRDefault="00E345FB" w:rsidP="00C06D9D">
                    <w:pPr>
                      <w:jc w:val="center"/>
                    </w:pPr>
                    <w:r>
                      <w:rPr>
                        <w:rFonts w:cstheme="minorBidi"/>
                        <w:sz w:val="20"/>
                        <w:szCs w:val="20"/>
                      </w:rPr>
                      <w:t>Record Identified &amp; Screened</w:t>
                    </w:r>
                  </w:p>
                </w:txbxContent>
              </v:textbox>
            </v:rect>
            <v:rect id="Rectangle 49" o:spid="_x0000_s1032" style="position:absolute;left:26501;top:374;width:16396;height:35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">
              <v:path arrowok="t"/>
              <v:textbox inset=",7.2pt,,7.2pt">
                <w:txbxContent>
                  <w:p w:rsidR="00E345FB" w:rsidRPr="00081249" w:rsidRDefault="00E345FB" w:rsidP="00C06D9D">
                    <w:pPr>
                      <w:rPr>
                        <w:lang w:val="en-MY"/>
                      </w:rPr>
                    </w:pPr>
                    <w:r>
                      <w:rPr>
                        <w:rFonts w:cstheme="minorBidi"/>
                        <w:sz w:val="20"/>
                        <w:szCs w:val="20"/>
                        <w:lang w:val="en-MY"/>
                      </w:rPr>
                      <w:t>Design Thinking</w:t>
                    </w:r>
                  </w:p>
                </w:txbxContent>
              </v:textbox>
            </v:rect>
            <v:roundrect id="AutoShape 26" o:spid="_x0000_s1033" style="position:absolute;left:-3819;top:31981;width:10985;height:3163;rotation:-9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" fillcolor="#ccecff">
              <v:path arrowok="t"/>
              <v:textbox style="layout-flow:vertical;mso-layout-flow-alt:bottom-to-top" inset="3.6pt,,3.6pt">
                <w:txbxContent>
                  <w:p w:rsidR="00E345FB" w:rsidRDefault="00E345FB" w:rsidP="00C06D9D">
                    <w:pPr>
                      <w:jc w:val="center"/>
                    </w:pPr>
                    <w:r>
                      <w:rPr>
                        <w:b/>
                        <w:bCs/>
                        <w:color w:val="002060"/>
                        <w:sz w:val="20"/>
                        <w:szCs w:val="20"/>
                      </w:rPr>
                      <w:t>Screening</w:t>
                    </w:r>
                  </w:p>
                </w:txbxContent>
              </v:textbox>
            </v:roundrect>
            <v:roundrect id="AutoShape 27" o:spid="_x0000_s1034" style="position:absolute;left:-6102;top:46410;width:15366;height:3162;rotation:-9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" fillcolor="#ccecff">
              <v:path arrowok="t"/>
              <v:textbox style="layout-flow:vertical;mso-layout-flow-alt:bottom-to-top" inset="3.6pt,,3.6pt">
                <w:txbxContent>
                  <w:p w:rsidR="00E345FB" w:rsidRDefault="00E345FB" w:rsidP="00C06D9D">
                    <w:pPr>
                      <w:jc w:val="center"/>
                    </w:pPr>
                    <w:r>
                      <w:rPr>
                        <w:b/>
                        <w:bCs/>
                        <w:color w:val="002060"/>
                        <w:sz w:val="20"/>
                        <w:szCs w:val="20"/>
                      </w:rPr>
                      <w:t>Included</w:t>
                    </w:r>
                  </w:p>
                </w:txbxContent>
              </v:textbox>
            </v:roundrect>
            <v:roundrect id="AutoShape 29" o:spid="_x0000_s1035" style="position:absolute;left:-11812;top:11881;width:26924;height:3162;rotation:-9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" fillcolor="#ccecff">
              <v:path arrowok="t"/>
              <v:textbox style="layout-flow:vertical;mso-layout-flow-alt:bottom-to-top" inset="3.6pt,,3.6pt">
                <w:txbxContent>
                  <w:p w:rsidR="00E345FB" w:rsidRDefault="00E345FB" w:rsidP="00C06D9D">
                    <w:pPr>
                      <w:jc w:val="center"/>
                    </w:pPr>
                    <w:r>
                      <w:rPr>
                        <w:b/>
                        <w:bCs/>
                        <w:color w:val="002060"/>
                        <w:sz w:val="20"/>
                        <w:szCs w:val="20"/>
                      </w:rPr>
                      <w:t>Topic, Scope &amp;Eligability</w:t>
                    </w:r>
                  </w:p>
                </w:txbxContent>
              </v:textbox>
            </v:roundrect>
            <v:rect id="Rectangle 55" o:spid="_x0000_s1036" style="position:absolute;left:7456;top:374;width:13832;height:3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">
              <v:path arrowok="t"/>
              <v:textbox inset=",7.2pt,,7.2pt">
                <w:txbxContent>
                  <w:p w:rsidR="00E345FB" w:rsidRDefault="00E345FB" w:rsidP="00C06D9D">
                    <w:pPr>
                      <w:jc w:val="center"/>
                    </w:pPr>
                    <w:r>
                      <w:rPr>
                        <w:rFonts w:cstheme="minorBidi"/>
                        <w:sz w:val="20"/>
                        <w:szCs w:val="20"/>
                      </w:rPr>
                      <w:t>Topic</w:t>
                    </w:r>
                  </w:p>
                </w:txbxContent>
              </v:textbox>
            </v:rect>
            <v:rect id="Rectangle 56" o:spid="_x0000_s1037" style="position:absolute;left:7456;top:7185;width:13832;height:35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">
              <v:path arrowok="t"/>
              <v:textbox inset=",7.2pt,,7.2pt">
                <w:txbxContent>
                  <w:p w:rsidR="00E345FB" w:rsidRDefault="00E345FB" w:rsidP="00C06D9D">
                    <w:pPr>
                      <w:jc w:val="center"/>
                    </w:pPr>
                    <w:r>
                      <w:rPr>
                        <w:rFonts w:cstheme="minorBidi"/>
                        <w:sz w:val="20"/>
                        <w:szCs w:val="20"/>
                      </w:rPr>
                      <w:t>Scope &amp; Coverage</w:t>
                    </w:r>
                  </w:p>
                </w:txbxContent>
              </v:textbox>
            </v:rect>
            <v:rect id="Rectangle 57" o:spid="_x0000_s1038" style="position:absolute;left:7456;top:47920;width:13832;height:6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">
              <v:path arrowok="t"/>
              <v:textbox inset=",7.2pt,,7.2pt">
                <w:txbxContent>
                  <w:p w:rsidR="00E345FB" w:rsidRDefault="00E345FB" w:rsidP="00C06D9D">
                    <w:pPr>
                      <w:jc w:val="center"/>
                    </w:pPr>
                    <w:r>
                      <w:rPr>
                        <w:rFonts w:cstheme="minorBidi"/>
                        <w:sz w:val="20"/>
                        <w:szCs w:val="20"/>
                      </w:rPr>
                      <w:t>Record Included for Bibliometric Analysis</w:t>
                    </w:r>
                  </w:p>
                </w:txbxContent>
              </v:textbox>
            </v:rect>
            <v:rect id="Rectangle 58" o:spid="_x0000_s1039" style="position:absolute;left:26497;top:41104;width:10459;height:48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">
              <v:path arrowok="t"/>
              <v:textbox inset=",7.2pt,,7.2pt">
                <w:txbxContent>
                  <w:p w:rsidR="00E345FB" w:rsidRDefault="00E345FB" w:rsidP="00C06D9D">
                    <w:pPr>
                      <w:rPr>
                        <w:rFonts w:cstheme="minorBidi"/>
                        <w:sz w:val="20"/>
                        <w:szCs w:val="20"/>
                      </w:rPr>
                    </w:pPr>
                    <w:r>
                      <w:rPr>
                        <w:rFonts w:cstheme="minorBidi"/>
                        <w:sz w:val="20"/>
                        <w:szCs w:val="20"/>
                      </w:rPr>
                      <w:t>n = 0</w:t>
                    </w: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C06D9D">
                    <w:pPr>
                      <w:rPr>
                        <w:rFonts w:cstheme="minorBidi"/>
                        <w:sz w:val="20"/>
                        <w:szCs w:val="20"/>
                      </w:rPr>
                    </w:pPr>
                  </w:p>
                  <w:p w:rsidR="00E345FB" w:rsidRDefault="00E345FB" w:rsidP="00B86B29">
                    <w:pPr>
                      <w:ind w:left="720"/>
                      <w:rPr>
                        <w:rFonts w:cstheme="minorBidi"/>
                        <w:sz w:val="20"/>
                        <w:szCs w:val="20"/>
                      </w:rPr>
                    </w:pPr>
                    <w:r>
                      <w:rPr>
                        <w:rFonts w:cstheme="minorBidi"/>
                        <w:sz w:val="20"/>
                        <w:szCs w:val="20"/>
                      </w:rPr>
                      <w:t>45\\\++\\+++</w:t>
                    </w:r>
                  </w:p>
                  <w:p w:rsidR="00E345FB" w:rsidRDefault="00E345FB" w:rsidP="00C06D9D">
                    <w:pPr>
                      <w:rPr>
                        <w:rFonts w:cstheme="minorBidi"/>
                        <w:sz w:val="20"/>
                        <w:szCs w:val="20"/>
                      </w:rPr>
                    </w:pPr>
                    <w:r>
                      <w:rPr>
                        <w:rFonts w:cstheme="minorBidi"/>
                        <w:sz w:val="20"/>
                        <w:szCs w:val="20"/>
                      </w:rPr>
                      <w:t>=</w:t>
                    </w:r>
                  </w:p>
                  <w:p w:rsidR="00E345FB" w:rsidRDefault="00E345FB" w:rsidP="00C06D9D">
                    <w:r>
                      <w:rPr>
                        <w:rFonts w:cstheme="minorBidi"/>
                        <w:sz w:val="20"/>
                        <w:szCs w:val="20"/>
                      </w:rPr>
                      <w:t>D’;v[=lgp=789=7</w:t>
                    </w:r>
                    <w:r w:rsidRPr="00B86B29">
                      <w:rPr>
                        <w:rFonts w:cstheme="minorBidi"/>
                        <w:sz w:val="20"/>
                        <w:szCs w:val="20"/>
                      </w:rPr>
                      <w:t>n=47</w:t>
                    </w:r>
                  </w:p>
                </w:txbxContent>
              </v:textbox>
            </v:rect>
            <v:rect id="Rectangle 59" o:spid="_x0000_s1040" style="position:absolute;left:7456;top:41113;width:13832;height:35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">
              <v:path arrowok="t"/>
              <v:textbox inset=",7.2pt,,7.2pt">
                <w:txbxContent>
                  <w:p w:rsidR="00E345FB" w:rsidRDefault="00E345FB" w:rsidP="00C06D9D">
                    <w:pPr>
                      <w:jc w:val="center"/>
                    </w:pPr>
                    <w:r>
                      <w:rPr>
                        <w:rFonts w:cstheme="minorBidi"/>
                        <w:sz w:val="20"/>
                        <w:szCs w:val="20"/>
                      </w:rPr>
                      <w:t>Record Removed</w:t>
                    </w:r>
                  </w:p>
                </w:txbxContent>
              </v:textbox>
            </v:rect>
            <v:rect id="Rectangle 60" o:spid="_x0000_s1041" style="position:absolute;left:26501;top:48806;width:8344;height:35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">
              <v:path arrowok="t"/>
              <v:textbox inset=",7.2pt,,7.2pt">
                <w:txbxContent>
                  <w:p w:rsidR="00E345FB" w:rsidRDefault="00E345FB" w:rsidP="00C06D9D">
                    <w:r>
                      <w:rPr>
                        <w:rFonts w:cstheme="minorBidi"/>
                        <w:sz w:val="20"/>
                        <w:szCs w:val="20"/>
                      </w:rPr>
                      <w:t>n = 1875</w:t>
                    </w:r>
                  </w:p>
                </w:txbxContent>
              </v:textbox>
            </v:rect>
            <v:shapetype id="_x0000_t32" coordsize="21600,21600" o:spt="32" o:oned="t" path="m,l21600,21600e" filled="f">
              <v:path arrowok="t" fillok="f" o:connecttype="none"/>
              <o:lock v:ext="edit" shapetype="t"/>
            </v:shapetype>
            <v:shape id="AutoShape 40" o:spid="_x0000_s1042" type="#_x0000_t32" style="position:absolute;left:14271;top:3969;width:0;height:323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">
              <v:stroke endarrow="block"/>
              <v:shadow color="#ccc"/>
              <o:lock v:ext="edit" shapetype="f"/>
            </v:shape>
            <v:shape id="AutoShape 40" o:spid="_x0000_s1043" type="#_x0000_t32" style="position:absolute;left:14334;top:10780;width:0;height:7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">
              <v:stroke endarrow="block"/>
              <v:shadow color="#ccc"/>
              <o:lock v:ext="edit" shapetype="f"/>
            </v:shape>
            <v:shape id="AutoShape 40" o:spid="_x0000_s1044" type="#_x0000_t32" style="position:absolute;left:14271;top:23077;width:82;height:599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">
              <v:stroke endarrow="block"/>
              <v:shadow color="#ccc"/>
              <o:lock v:ext="edit" shapetype="f"/>
            </v:shape>
            <v:shape id="AutoShape 40" o:spid="_x0000_s1045" type="#_x0000_t32" style="position:absolute;left:14334;top:44707;width:0;height:324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">
              <v:stroke endarrow="block"/>
              <v:shadow color="#ccc"/>
              <o:lock v:ext="edit" shapetype="f"/>
            </v:shape>
            <v:shape id="AutoShape 40" o:spid="_x0000_s1046" type="#_x0000_t32" style="position:absolute;left:14334;top:39158;width:0;height:198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">
              <v:stroke endarrow="block"/>
              <v:shadow color="#ccc"/>
              <o:lock v:ext="edit" shapetype="f"/>
            </v:shape>
            <v:line id="Straight Connector 34" o:spid="_x0000_s1047" style="position:absolute;visibility:visible" from="21267,2140" to="26479,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" strokecolor="black [3200]">
              <v:stroke joinstyle="miter"/>
            </v:line>
            <v:line id="Straight Connector 84" o:spid="_x0000_s1048" style="position:absolute;visibility:visible" from="21204,8951" to="26416,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" strokecolor="black [3200]">
              <v:stroke joinstyle="miter"/>
            </v:line>
            <v:line id="Straight Connector 85" o:spid="_x0000_s1049" style="position:absolute;visibility:visible" from="21330,20870" to="26542,20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" strokecolor="black [3200]">
              <v:stroke joinstyle="miter"/>
            </v:line>
            <v:line id="Straight Connector 86" o:spid="_x0000_s1050" style="position:absolute;visibility:visible" from="21330,36824" to="26542,36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" strokecolor="black [3200]">
              <v:stroke joinstyle="miter"/>
            </v:line>
            <v:line id="Straight Connector 87" o:spid="_x0000_s1051" style="position:absolute;visibility:visible" from="21204,42815" to="26416,42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" strokecolor="black [3200]">
              <v:stroke joinstyle="miter"/>
            </v:line>
            <v:line id="Straight Connector 88" o:spid="_x0000_s1052" style="position:absolute;visibility:visible" from="21204,50572" to="26416,50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" strokecolor="black [3200]">
              <v:stroke joinstyle="miter"/>
            </v:line>
            <v:rect id="Rectangle 27" o:spid="_x0000_s1053" style="position:absolute;left:26438;top:29005;width:20936;height:3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">
              <v:path arrowok="t"/>
              <v:textbox inset=",7.2pt,,7.2pt">
                <w:txbxContent>
                  <w:p w:rsidR="00E345FB" w:rsidRDefault="00E345FB" w:rsidP="00C06D9D">
                    <w:r>
                      <w:rPr>
                        <w:rFonts w:cstheme="minorBidi"/>
                        <w:sz w:val="20"/>
                        <w:szCs w:val="20"/>
                        <w:lang w:val="en-GB"/>
                      </w:rPr>
                      <w:t>9 March 2022</w:t>
                    </w:r>
                  </w:p>
                </w:txbxContent>
              </v:textbox>
            </v:rect>
            <v:rect id="Rectangle 28" o:spid="_x0000_s1054" style="position:absolute;left:7267;top:29068;width:13959;height:3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">
              <v:path arrowok="t"/>
              <v:textbox inset=",7.2pt,,7.2pt">
                <w:txbxContent>
                  <w:p w:rsidR="00E345FB" w:rsidRDefault="00E345FB" w:rsidP="00C06D9D">
                    <w:pPr>
                      <w:jc w:val="center"/>
                    </w:pPr>
                    <w:r>
                      <w:rPr>
                        <w:rFonts w:cstheme="minorBidi"/>
                        <w:sz w:val="20"/>
                        <w:szCs w:val="20"/>
                      </w:rPr>
                      <w:t>Date Extracted</w:t>
                    </w:r>
                  </w:p>
                </w:txbxContent>
              </v:textbox>
            </v:rect>
            <v:line id="Straight Connector 29" o:spid="_x0000_s1055" style="position:absolute;visibility:visible" from="21267,30707" to="26479,3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" strokecolor="black [3200]">
              <v:stroke joinstyle="miter"/>
            </v:line>
            <v:shape id="AutoShape 40" o:spid="_x0000_s1056" type="#_x0000_t32" style="position:absolute;left:14271;top:32662;width:82;height:191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">
              <v:stroke endarrow="block"/>
              <v:shadow color="#ccc"/>
              <o:lock v:ext="edit" shapetype="f"/>
            </v:shape>
            <w10:wrap type="none"/>
            <w10:anchorlock/>
          </v:group>
        </w:pict>
      </w:r>
    </w:p>
    <w:p w:rsidR="004C162B" w:rsidRPr="00E345FB" w:rsidRDefault="004C162B" w:rsidP="00E345FB">
      <w:pPr>
        <w:pStyle w:val="SAP-Paragraph"/>
        <w:suppressAutoHyphens/>
        <w:spacing w:line="240" w:lineRule="auto"/>
        <w:ind w:firstLineChars="0" w:firstLine="0"/>
        <w:rPr>
          <w:sz w:val="22"/>
          <w:szCs w:val="22"/>
          <w:lang w:val="en-GB"/>
        </w:rPr>
      </w:pPr>
    </w:p>
    <w:p w:rsidR="004E2521" w:rsidRPr="00E345FB" w:rsidRDefault="00D64D71" w:rsidP="00E345FB">
      <w:pPr>
        <w:pStyle w:val="SAP-Paragraph"/>
        <w:suppressAutoHyphens/>
        <w:spacing w:line="240" w:lineRule="auto"/>
        <w:ind w:firstLineChars="0" w:firstLine="0"/>
        <w:jc w:val="center"/>
        <w:rPr>
          <w:sz w:val="22"/>
          <w:szCs w:val="22"/>
          <w:lang w:val="en-US" w:eastAsia="en-US"/>
        </w:rPr>
      </w:pPr>
      <w:r w:rsidRPr="00E345FB">
        <w:rPr>
          <w:b/>
          <w:bCs/>
          <w:sz w:val="22"/>
          <w:szCs w:val="22"/>
          <w:lang w:val="en-US" w:eastAsia="en-US"/>
        </w:rPr>
        <w:t>Figure</w:t>
      </w:r>
      <w:r w:rsidR="004E2521" w:rsidRPr="00E345FB">
        <w:rPr>
          <w:b/>
          <w:bCs/>
          <w:sz w:val="22"/>
          <w:szCs w:val="22"/>
          <w:lang w:val="en-US" w:eastAsia="en-US"/>
        </w:rPr>
        <w:t xml:space="preserve"> 1</w:t>
      </w:r>
      <w:r w:rsidR="00443B03" w:rsidRPr="00E345FB">
        <w:rPr>
          <w:b/>
          <w:bCs/>
          <w:sz w:val="22"/>
          <w:szCs w:val="22"/>
          <w:lang w:val="en-US" w:eastAsia="en-US"/>
        </w:rPr>
        <w:t>.</w:t>
      </w:r>
      <w:r w:rsidR="00891CE4" w:rsidRPr="00E345FB">
        <w:rPr>
          <w:sz w:val="22"/>
          <w:szCs w:val="22"/>
          <w:lang w:val="en-US" w:eastAsia="en-US"/>
        </w:rPr>
        <w:t>Flow diagram of the search strategy</w:t>
      </w:r>
      <w:r w:rsidR="00064DD5" w:rsidRPr="00E345FB">
        <w:rPr>
          <w:sz w:val="22"/>
          <w:szCs w:val="22"/>
          <w:lang w:val="en-US" w:eastAsia="en-US"/>
        </w:rPr>
        <w:fldChar w:fldCharType="begin" w:fldLock="1"/>
      </w:r>
      <w:r w:rsidR="00865DBD" w:rsidRPr="00E345FB">
        <w:rPr>
          <w:sz w:val="22"/>
          <w:szCs w:val="22"/>
          <w:lang w:val="en-US" w:eastAsia="en-US"/>
        </w:rPr>
        <w:instrText>ADDIN CSL_CITATION {"citationItems":[{"id":"ITEM-1","itemData":{"DOI":"10.1080/07420528.2020.1838534","ISSN":"15256073","PMID":"33164592","abstract":"This study presents a bibliometric analysis of the publications on melatonin research from the Scopus database during the period 2015–2019. Based on the keywords used, which are related to melatonin in the article title, the study retrieved 4411 documents for further analysis using various tools. We used Microsoft Excel to conduct the frequency analysis, VOSviewer for data visualization, and Harzing’s Publish or Perish for citation metrics and analysis. This study reports the results using standard bibliometric indicators such as the growth of publications, authorship patterns, collaboration, and prolific authors, country contribution, most active institutions, preferred journals, and top-cited articles. Based on our findings, there is a continuous growth of publications on melatonin research for 5 years since 2015. China was the largest contributor to melatonin research, followed by the United States. The Journal of Pineal Research published the most number of publications related to melatonin research. Our findings suggest that the role of melatonin in plant and food sciences, as well as in cancer, may in later years take over the clusters that earlier dominated melatonin research.","author":[{"dropping-particle":"","family":"Zakaria","given":"Rahimah","non-dropping-particle":"","parse-names":false,"suffix":""},{"dropping-particle":"","family":"Ahmi","given":"Aidi","non-dropping-particle":"","parse-names":false,"suffix":""},{"dropping-particle":"","family":"Ahmad","given":"Asma Hayati","non-dropping-particle":"","parse-names":false,"suffix":""},{"dropping-particle":"","family":"Othman","given":"Zahiruddin","non-dropping-particle":"","parse-names":false,"suffix":""}],"container-title":"Chronobiology International","id":"ITEM-1","issue":"1","issued":{"date-parts":[["2021"]]},"page":"27-37","publisher":"Taylor &amp; Francis","title":"Worldwide melatonin research: a bibliometric analysis of the published literature between 2015 and 2019","type":"article-journal","volume":"38"},"uris":["http://www.mendeley.com/documents/?uuid=2e448b77-bd29-4b46-a869-271f4ed95d83"]}],"mendeley":{"formattedCitation":"(Zakaria, Ahmi, Ahmad, &amp; Othman, 2021)","plainTextFormattedCitation":"(Zakaria, Ahmi, Ahmad, &amp; Othman, 2021)","previouslyFormattedCitation":"(Zakaria, Ahmi, Ahmad, &amp; Othman, 2021)"},"properties":{"noteIndex":0},"schema":"https://github.com/citation-style-language/schema/raw/master/csl-citation.json"}</w:instrText>
      </w:r>
      <w:r w:rsidR="00064DD5" w:rsidRPr="00E345FB">
        <w:rPr>
          <w:sz w:val="22"/>
          <w:szCs w:val="22"/>
          <w:lang w:val="en-US" w:eastAsia="en-US"/>
        </w:rPr>
        <w:fldChar w:fldCharType="separate"/>
      </w:r>
      <w:r w:rsidR="0036746B" w:rsidRPr="00E345FB">
        <w:rPr>
          <w:noProof/>
          <w:sz w:val="22"/>
          <w:szCs w:val="22"/>
          <w:lang w:val="en-US" w:eastAsia="en-US"/>
        </w:rPr>
        <w:t>(Zakaria, Ahmi, Ahmad, &amp; Othman, 2021)</w:t>
      </w:r>
      <w:r w:rsidR="00064DD5" w:rsidRPr="00E345FB">
        <w:rPr>
          <w:sz w:val="22"/>
          <w:szCs w:val="22"/>
          <w:lang w:val="en-US" w:eastAsia="en-US"/>
        </w:rPr>
        <w:fldChar w:fldCharType="end"/>
      </w:r>
      <w:r w:rsidR="00DC27AF" w:rsidRPr="00E345FB">
        <w:rPr>
          <w:sz w:val="22"/>
          <w:szCs w:val="22"/>
          <w:lang w:val="en-US" w:eastAsia="en-US"/>
        </w:rPr>
        <w:t>.</w:t>
      </w:r>
    </w:p>
    <w:p w:rsidR="009F2947" w:rsidRPr="00E345FB" w:rsidRDefault="009F2947" w:rsidP="00E345FB">
      <w:pPr>
        <w:pStyle w:val="SAP-Paragraph"/>
        <w:suppressAutoHyphens/>
        <w:spacing w:line="240" w:lineRule="auto"/>
        <w:ind w:firstLineChars="0" w:firstLine="0"/>
        <w:rPr>
          <w:sz w:val="22"/>
          <w:szCs w:val="22"/>
          <w:lang w:val="en-US"/>
        </w:rPr>
      </w:pPr>
    </w:p>
    <w:p w:rsidR="00B66814" w:rsidRPr="00E345FB" w:rsidRDefault="00B66814" w:rsidP="00E345FB">
      <w:pPr>
        <w:pStyle w:val="SAP-Paragraph"/>
        <w:suppressAutoHyphens/>
        <w:spacing w:line="240" w:lineRule="auto"/>
        <w:ind w:firstLineChars="0" w:firstLine="0"/>
        <w:rPr>
          <w:sz w:val="22"/>
          <w:szCs w:val="22"/>
          <w:lang w:val="en-US"/>
        </w:rPr>
      </w:pPr>
    </w:p>
    <w:p w:rsidR="004E2521" w:rsidRPr="00E345FB" w:rsidRDefault="00B66814" w:rsidP="00E345FB">
      <w:pPr>
        <w:pStyle w:val="SAP-Paragraph"/>
        <w:suppressAutoHyphens/>
        <w:spacing w:line="240" w:lineRule="auto"/>
        <w:ind w:firstLineChars="0" w:firstLine="0"/>
        <w:jc w:val="center"/>
        <w:rPr>
          <w:sz w:val="22"/>
          <w:szCs w:val="22"/>
          <w:lang w:val="en-US"/>
        </w:rPr>
      </w:pPr>
      <w:r w:rsidRPr="00E345FB">
        <w:rPr>
          <w:b/>
          <w:bCs/>
          <w:sz w:val="22"/>
          <w:szCs w:val="22"/>
          <w:lang w:val="en-US"/>
        </w:rPr>
        <w:t xml:space="preserve">Table </w:t>
      </w:r>
      <w:r w:rsidR="00691C32" w:rsidRPr="00E345FB">
        <w:rPr>
          <w:b/>
          <w:bCs/>
          <w:sz w:val="22"/>
          <w:szCs w:val="22"/>
          <w:lang w:val="en-US"/>
        </w:rPr>
        <w:t>1</w:t>
      </w:r>
      <w:r w:rsidRPr="00E345FB">
        <w:rPr>
          <w:sz w:val="22"/>
          <w:szCs w:val="22"/>
          <w:lang w:val="en-US"/>
        </w:rPr>
        <w:t>. Types of retrieved documents (2000 – 2021)</w:t>
      </w:r>
      <w:r w:rsidR="00DC27AF" w:rsidRPr="00E345FB">
        <w:rPr>
          <w:sz w:val="22"/>
          <w:szCs w:val="22"/>
          <w:lang w:val="en-US"/>
        </w:rPr>
        <w:t>.</w:t>
      </w:r>
    </w:p>
    <w:tbl>
      <w:tblPr>
        <w:tblW w:w="5000" w:type="pct"/>
        <w:jc w:val="center"/>
        <w:tblBorders>
          <w:top w:val="single" w:sz="4" w:space="0" w:color="auto"/>
          <w:bottom w:val="single" w:sz="4" w:space="0" w:color="auto"/>
        </w:tblBorders>
        <w:tblLook w:val="01E0"/>
      </w:tblPr>
      <w:tblGrid>
        <w:gridCol w:w="3081"/>
        <w:gridCol w:w="3080"/>
        <w:gridCol w:w="3082"/>
      </w:tblGrid>
      <w:tr w:rsidR="00B66814" w:rsidRPr="00E345FB" w:rsidTr="00E345FB">
        <w:trPr>
          <w:jc w:val="center"/>
        </w:trPr>
        <w:tc>
          <w:tcPr>
            <w:tcW w:w="1667" w:type="pct"/>
            <w:tcBorders>
              <w:top w:val="single" w:sz="4" w:space="0" w:color="auto"/>
              <w:bottom w:val="single" w:sz="4" w:space="0" w:color="auto"/>
            </w:tcBorders>
            <w:shd w:val="clear" w:color="auto" w:fill="auto"/>
            <w:vAlign w:val="bottom"/>
          </w:tcPr>
          <w:p w:rsidR="00B66814" w:rsidRPr="00E345FB" w:rsidRDefault="00B66814" w:rsidP="00E345FB">
            <w:pPr>
              <w:suppressAutoHyphens/>
              <w:jc w:val="both"/>
              <w:rPr>
                <w:b/>
                <w:color w:val="000000"/>
                <w:sz w:val="22"/>
                <w:szCs w:val="22"/>
                <w:lang w:val="en-GB" w:eastAsia="en-US"/>
              </w:rPr>
            </w:pPr>
            <w:r w:rsidRPr="00E345FB">
              <w:rPr>
                <w:b/>
                <w:bCs/>
                <w:color w:val="000000"/>
                <w:sz w:val="22"/>
                <w:szCs w:val="22"/>
                <w:lang w:val="en-GB"/>
              </w:rPr>
              <w:t>Document Type</w:t>
            </w:r>
          </w:p>
        </w:tc>
        <w:tc>
          <w:tcPr>
            <w:tcW w:w="1666" w:type="pct"/>
            <w:tcBorders>
              <w:top w:val="single" w:sz="4" w:space="0" w:color="auto"/>
              <w:bottom w:val="single" w:sz="4" w:space="0" w:color="auto"/>
            </w:tcBorders>
            <w:shd w:val="clear" w:color="auto" w:fill="auto"/>
            <w:vAlign w:val="center"/>
          </w:tcPr>
          <w:p w:rsidR="00B66814" w:rsidRPr="00E345FB" w:rsidRDefault="00B66814" w:rsidP="00E345FB">
            <w:pPr>
              <w:suppressAutoHyphens/>
              <w:jc w:val="both"/>
              <w:rPr>
                <w:b/>
                <w:color w:val="000000"/>
                <w:sz w:val="22"/>
                <w:szCs w:val="22"/>
                <w:lang w:val="en-GB"/>
              </w:rPr>
            </w:pPr>
            <w:r w:rsidRPr="00E345FB">
              <w:rPr>
                <w:b/>
                <w:bCs/>
                <w:color w:val="000000"/>
                <w:sz w:val="22"/>
                <w:szCs w:val="22"/>
                <w:lang w:val="en-GB"/>
              </w:rPr>
              <w:t>Total Publications (TP)</w:t>
            </w:r>
          </w:p>
        </w:tc>
        <w:tc>
          <w:tcPr>
            <w:tcW w:w="1667" w:type="pct"/>
            <w:tcBorders>
              <w:top w:val="single" w:sz="4" w:space="0" w:color="auto"/>
              <w:bottom w:val="single" w:sz="4" w:space="0" w:color="auto"/>
            </w:tcBorders>
            <w:shd w:val="clear" w:color="auto" w:fill="auto"/>
            <w:vAlign w:val="bottom"/>
          </w:tcPr>
          <w:p w:rsidR="00B66814" w:rsidRPr="00E345FB" w:rsidRDefault="00B66814" w:rsidP="00E345FB">
            <w:pPr>
              <w:suppressAutoHyphens/>
              <w:jc w:val="both"/>
              <w:rPr>
                <w:b/>
                <w:color w:val="000000"/>
                <w:sz w:val="22"/>
                <w:szCs w:val="22"/>
                <w:lang w:val="en-GB"/>
              </w:rPr>
            </w:pPr>
            <w:r w:rsidRPr="00E345FB">
              <w:rPr>
                <w:b/>
                <w:bCs/>
                <w:color w:val="000000"/>
                <w:sz w:val="22"/>
                <w:szCs w:val="22"/>
                <w:lang w:val="en-GB"/>
              </w:rPr>
              <w:t>Percentage (%)</w:t>
            </w:r>
          </w:p>
        </w:tc>
      </w:tr>
      <w:tr w:rsidR="00B66814" w:rsidRPr="00E345FB" w:rsidTr="00E345FB">
        <w:trPr>
          <w:jc w:val="center"/>
        </w:trPr>
        <w:tc>
          <w:tcPr>
            <w:tcW w:w="1667" w:type="pct"/>
            <w:tcBorders>
              <w:top w:val="single" w:sz="4" w:space="0" w:color="auto"/>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Conference Paper</w:t>
            </w:r>
          </w:p>
        </w:tc>
        <w:tc>
          <w:tcPr>
            <w:tcW w:w="1666" w:type="pct"/>
            <w:tcBorders>
              <w:top w:val="single" w:sz="4" w:space="0" w:color="auto"/>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822</w:t>
            </w:r>
          </w:p>
        </w:tc>
        <w:tc>
          <w:tcPr>
            <w:tcW w:w="1667" w:type="pct"/>
            <w:tcBorders>
              <w:top w:val="single" w:sz="4" w:space="0" w:color="auto"/>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43.84%</w:t>
            </w:r>
          </w:p>
        </w:tc>
      </w:tr>
      <w:tr w:rsidR="00B66814" w:rsidRPr="00E345FB" w:rsidTr="00E345FB">
        <w:trPr>
          <w:jc w:val="center"/>
        </w:trPr>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Article</w:t>
            </w:r>
          </w:p>
        </w:tc>
        <w:tc>
          <w:tcPr>
            <w:tcW w:w="1666"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755</w:t>
            </w:r>
          </w:p>
        </w:tc>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40.27%</w:t>
            </w:r>
          </w:p>
        </w:tc>
      </w:tr>
      <w:tr w:rsidR="00B66814" w:rsidRPr="00E345FB" w:rsidTr="00E345FB">
        <w:trPr>
          <w:jc w:val="center"/>
        </w:trPr>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Book Chapter</w:t>
            </w:r>
          </w:p>
        </w:tc>
        <w:tc>
          <w:tcPr>
            <w:tcW w:w="1666"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144</w:t>
            </w:r>
          </w:p>
        </w:tc>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7.68%</w:t>
            </w:r>
          </w:p>
        </w:tc>
      </w:tr>
      <w:tr w:rsidR="00B66814" w:rsidRPr="00E345FB" w:rsidTr="00E345FB">
        <w:trPr>
          <w:jc w:val="center"/>
        </w:trPr>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Review</w:t>
            </w:r>
          </w:p>
        </w:tc>
        <w:tc>
          <w:tcPr>
            <w:tcW w:w="1666"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51</w:t>
            </w:r>
          </w:p>
        </w:tc>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2.72%</w:t>
            </w:r>
          </w:p>
        </w:tc>
      </w:tr>
      <w:tr w:rsidR="00B66814" w:rsidRPr="00E345FB" w:rsidTr="00E345FB">
        <w:trPr>
          <w:jc w:val="center"/>
        </w:trPr>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Note</w:t>
            </w:r>
          </w:p>
        </w:tc>
        <w:tc>
          <w:tcPr>
            <w:tcW w:w="1666"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33</w:t>
            </w:r>
          </w:p>
        </w:tc>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1.76%</w:t>
            </w:r>
          </w:p>
        </w:tc>
      </w:tr>
      <w:tr w:rsidR="00B66814" w:rsidRPr="00E345FB" w:rsidTr="00E345FB">
        <w:trPr>
          <w:jc w:val="center"/>
        </w:trPr>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Editorial</w:t>
            </w:r>
          </w:p>
        </w:tc>
        <w:tc>
          <w:tcPr>
            <w:tcW w:w="1666"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25</w:t>
            </w:r>
          </w:p>
        </w:tc>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1.33%</w:t>
            </w:r>
          </w:p>
        </w:tc>
      </w:tr>
      <w:tr w:rsidR="00B66814" w:rsidRPr="00E345FB" w:rsidTr="00E345FB">
        <w:trPr>
          <w:jc w:val="center"/>
        </w:trPr>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Book</w:t>
            </w:r>
          </w:p>
        </w:tc>
        <w:tc>
          <w:tcPr>
            <w:tcW w:w="1666"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20</w:t>
            </w:r>
          </w:p>
        </w:tc>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1.07%</w:t>
            </w:r>
          </w:p>
        </w:tc>
      </w:tr>
      <w:tr w:rsidR="00B66814" w:rsidRPr="00E345FB" w:rsidTr="00E345FB">
        <w:trPr>
          <w:jc w:val="center"/>
        </w:trPr>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Letter</w:t>
            </w:r>
          </w:p>
        </w:tc>
        <w:tc>
          <w:tcPr>
            <w:tcW w:w="1666"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8</w:t>
            </w:r>
          </w:p>
        </w:tc>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0.43%</w:t>
            </w:r>
          </w:p>
        </w:tc>
      </w:tr>
      <w:tr w:rsidR="00B66814" w:rsidRPr="00E345FB" w:rsidTr="00E345FB">
        <w:trPr>
          <w:jc w:val="center"/>
        </w:trPr>
        <w:tc>
          <w:tcPr>
            <w:tcW w:w="1667"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Short Survey</w:t>
            </w:r>
          </w:p>
        </w:tc>
        <w:tc>
          <w:tcPr>
            <w:tcW w:w="1666" w:type="pct"/>
            <w:tcBorders>
              <w:top w:val="nil"/>
              <w:bottom w:val="nil"/>
            </w:tcBorders>
            <w:shd w:val="clear" w:color="auto" w:fill="auto"/>
          </w:tcPr>
          <w:p w:rsidR="00B66814" w:rsidRPr="00E345FB" w:rsidRDefault="00B66814" w:rsidP="00E345FB">
            <w:pPr>
              <w:suppressAutoHyphens/>
              <w:jc w:val="both"/>
              <w:rPr>
                <w:color w:val="000000"/>
                <w:sz w:val="22"/>
                <w:szCs w:val="22"/>
                <w:lang w:val="en-GB"/>
              </w:rPr>
            </w:pPr>
            <w:r w:rsidRPr="00E345FB">
              <w:rPr>
                <w:sz w:val="22"/>
                <w:szCs w:val="22"/>
              </w:rPr>
              <w:t>8</w:t>
            </w:r>
          </w:p>
        </w:tc>
        <w:tc>
          <w:tcPr>
            <w:tcW w:w="1667" w:type="pct"/>
            <w:tcBorders>
              <w:top w:val="nil"/>
              <w:bottom w:val="nil"/>
            </w:tcBorders>
            <w:shd w:val="clear" w:color="auto" w:fill="auto"/>
          </w:tcPr>
          <w:p w:rsidR="00B66814" w:rsidRPr="00E345FB" w:rsidRDefault="00B66814" w:rsidP="00E345FB">
            <w:pPr>
              <w:suppressAutoHyphens/>
              <w:jc w:val="both"/>
              <w:rPr>
                <w:sz w:val="22"/>
                <w:szCs w:val="22"/>
              </w:rPr>
            </w:pPr>
            <w:r w:rsidRPr="00E345FB">
              <w:rPr>
                <w:sz w:val="22"/>
                <w:szCs w:val="22"/>
              </w:rPr>
              <w:t>0.43%</w:t>
            </w:r>
          </w:p>
        </w:tc>
      </w:tr>
      <w:tr w:rsidR="00B66814" w:rsidRPr="00E345FB" w:rsidTr="00E345FB">
        <w:trPr>
          <w:jc w:val="center"/>
        </w:trPr>
        <w:tc>
          <w:tcPr>
            <w:tcW w:w="1667" w:type="pct"/>
            <w:tcBorders>
              <w:top w:val="nil"/>
              <w:bottom w:val="nil"/>
            </w:tcBorders>
            <w:shd w:val="clear" w:color="auto" w:fill="auto"/>
          </w:tcPr>
          <w:p w:rsidR="00B66814" w:rsidRPr="00E345FB" w:rsidRDefault="00B66814" w:rsidP="00E345FB">
            <w:pPr>
              <w:suppressAutoHyphens/>
              <w:jc w:val="both"/>
              <w:rPr>
                <w:sz w:val="22"/>
                <w:szCs w:val="22"/>
              </w:rPr>
            </w:pPr>
            <w:r w:rsidRPr="00E345FB">
              <w:rPr>
                <w:sz w:val="22"/>
                <w:szCs w:val="22"/>
              </w:rPr>
              <w:t>Conference Review</w:t>
            </w:r>
          </w:p>
          <w:p w:rsidR="00AF1AEA" w:rsidRPr="00E345FB" w:rsidRDefault="00AF1AEA" w:rsidP="00E345FB">
            <w:pPr>
              <w:suppressAutoHyphens/>
              <w:jc w:val="both"/>
              <w:rPr>
                <w:sz w:val="22"/>
                <w:szCs w:val="22"/>
              </w:rPr>
            </w:pPr>
            <w:r w:rsidRPr="00E345FB">
              <w:rPr>
                <w:sz w:val="22"/>
                <w:szCs w:val="22"/>
              </w:rPr>
              <w:t>Undefined</w:t>
            </w:r>
          </w:p>
        </w:tc>
        <w:tc>
          <w:tcPr>
            <w:tcW w:w="1666" w:type="pct"/>
            <w:tcBorders>
              <w:top w:val="nil"/>
              <w:bottom w:val="nil"/>
            </w:tcBorders>
            <w:shd w:val="clear" w:color="auto" w:fill="auto"/>
          </w:tcPr>
          <w:p w:rsidR="00B66814" w:rsidRPr="00E345FB" w:rsidRDefault="00B66814" w:rsidP="00E345FB">
            <w:pPr>
              <w:suppressAutoHyphens/>
              <w:jc w:val="both"/>
              <w:rPr>
                <w:sz w:val="22"/>
                <w:szCs w:val="22"/>
              </w:rPr>
            </w:pPr>
            <w:r w:rsidRPr="00E345FB">
              <w:rPr>
                <w:sz w:val="22"/>
                <w:szCs w:val="22"/>
              </w:rPr>
              <w:t>2</w:t>
            </w:r>
          </w:p>
          <w:p w:rsidR="00AF1AEA" w:rsidRPr="00E345FB" w:rsidRDefault="00AF1AEA" w:rsidP="00E345FB">
            <w:pPr>
              <w:suppressAutoHyphens/>
              <w:jc w:val="both"/>
              <w:rPr>
                <w:sz w:val="22"/>
                <w:szCs w:val="22"/>
              </w:rPr>
            </w:pPr>
            <w:r w:rsidRPr="00E345FB">
              <w:rPr>
                <w:sz w:val="22"/>
                <w:szCs w:val="22"/>
              </w:rPr>
              <w:t>7</w:t>
            </w:r>
          </w:p>
        </w:tc>
        <w:tc>
          <w:tcPr>
            <w:tcW w:w="1667" w:type="pct"/>
            <w:tcBorders>
              <w:top w:val="nil"/>
              <w:bottom w:val="nil"/>
            </w:tcBorders>
            <w:shd w:val="clear" w:color="auto" w:fill="auto"/>
          </w:tcPr>
          <w:p w:rsidR="00B66814" w:rsidRPr="00E345FB" w:rsidRDefault="00B66814" w:rsidP="00E345FB">
            <w:pPr>
              <w:suppressAutoHyphens/>
              <w:jc w:val="both"/>
              <w:rPr>
                <w:sz w:val="22"/>
                <w:szCs w:val="22"/>
              </w:rPr>
            </w:pPr>
            <w:r w:rsidRPr="00E345FB">
              <w:rPr>
                <w:sz w:val="22"/>
                <w:szCs w:val="22"/>
              </w:rPr>
              <w:t>0.11%</w:t>
            </w:r>
          </w:p>
          <w:p w:rsidR="00AF1AEA" w:rsidRPr="00E345FB" w:rsidRDefault="00AF1AEA" w:rsidP="00E345FB">
            <w:pPr>
              <w:suppressAutoHyphens/>
              <w:jc w:val="both"/>
              <w:rPr>
                <w:sz w:val="22"/>
                <w:szCs w:val="22"/>
              </w:rPr>
            </w:pPr>
            <w:r w:rsidRPr="00E345FB">
              <w:rPr>
                <w:sz w:val="22"/>
                <w:szCs w:val="22"/>
              </w:rPr>
              <w:t>0.37%</w:t>
            </w:r>
          </w:p>
        </w:tc>
      </w:tr>
      <w:tr w:rsidR="00B66814" w:rsidRPr="00E345FB" w:rsidTr="00E345FB">
        <w:trPr>
          <w:jc w:val="center"/>
        </w:trPr>
        <w:tc>
          <w:tcPr>
            <w:tcW w:w="1667" w:type="pct"/>
            <w:tcBorders>
              <w:top w:val="single" w:sz="4" w:space="0" w:color="auto"/>
              <w:bottom w:val="single" w:sz="4" w:space="0" w:color="auto"/>
            </w:tcBorders>
            <w:shd w:val="clear" w:color="auto" w:fill="auto"/>
            <w:vAlign w:val="bottom"/>
          </w:tcPr>
          <w:p w:rsidR="00B66814" w:rsidRPr="00E345FB" w:rsidRDefault="00B66814" w:rsidP="00E345FB">
            <w:pPr>
              <w:suppressAutoHyphens/>
              <w:jc w:val="both"/>
              <w:rPr>
                <w:color w:val="000000"/>
                <w:sz w:val="22"/>
                <w:szCs w:val="22"/>
                <w:lang w:val="en-GB"/>
              </w:rPr>
            </w:pPr>
            <w:r w:rsidRPr="00E345FB">
              <w:rPr>
                <w:b/>
                <w:bCs/>
                <w:color w:val="000000"/>
                <w:sz w:val="22"/>
                <w:szCs w:val="22"/>
                <w:lang w:val="en-GB"/>
              </w:rPr>
              <w:t>Total</w:t>
            </w:r>
          </w:p>
        </w:tc>
        <w:tc>
          <w:tcPr>
            <w:tcW w:w="1666" w:type="pct"/>
            <w:tcBorders>
              <w:top w:val="single" w:sz="4" w:space="0" w:color="auto"/>
              <w:bottom w:val="single" w:sz="4" w:space="0" w:color="auto"/>
            </w:tcBorders>
            <w:shd w:val="clear" w:color="auto" w:fill="auto"/>
            <w:vAlign w:val="bottom"/>
          </w:tcPr>
          <w:p w:rsidR="00B66814" w:rsidRPr="00E345FB" w:rsidRDefault="00B66814" w:rsidP="00E345FB">
            <w:pPr>
              <w:suppressAutoHyphens/>
              <w:jc w:val="both"/>
              <w:rPr>
                <w:color w:val="000000"/>
                <w:sz w:val="22"/>
                <w:szCs w:val="22"/>
                <w:lang w:val="en-GB"/>
              </w:rPr>
            </w:pPr>
            <w:r w:rsidRPr="00E345FB">
              <w:rPr>
                <w:b/>
                <w:bCs/>
                <w:color w:val="000000"/>
                <w:sz w:val="22"/>
                <w:szCs w:val="22"/>
                <w:lang w:val="en-GB"/>
              </w:rPr>
              <w:t>18</w:t>
            </w:r>
            <w:r w:rsidR="00AF1AEA" w:rsidRPr="00E345FB">
              <w:rPr>
                <w:b/>
                <w:bCs/>
                <w:color w:val="000000"/>
                <w:sz w:val="22"/>
                <w:szCs w:val="22"/>
                <w:lang w:val="en-GB"/>
              </w:rPr>
              <w:t>75</w:t>
            </w:r>
          </w:p>
        </w:tc>
        <w:tc>
          <w:tcPr>
            <w:tcW w:w="1667" w:type="pct"/>
            <w:tcBorders>
              <w:top w:val="single" w:sz="4" w:space="0" w:color="auto"/>
              <w:bottom w:val="single" w:sz="4" w:space="0" w:color="auto"/>
            </w:tcBorders>
            <w:shd w:val="clear" w:color="auto" w:fill="auto"/>
            <w:vAlign w:val="bottom"/>
          </w:tcPr>
          <w:p w:rsidR="00B66814" w:rsidRPr="00E345FB" w:rsidRDefault="00B66814" w:rsidP="00E345FB">
            <w:pPr>
              <w:suppressAutoHyphens/>
              <w:jc w:val="both"/>
              <w:rPr>
                <w:color w:val="000000"/>
                <w:sz w:val="22"/>
                <w:szCs w:val="22"/>
                <w:lang w:val="en-GB"/>
              </w:rPr>
            </w:pPr>
            <w:r w:rsidRPr="00E345FB">
              <w:rPr>
                <w:b/>
                <w:bCs/>
                <w:color w:val="000000"/>
                <w:sz w:val="22"/>
                <w:szCs w:val="22"/>
                <w:lang w:val="en-GB"/>
              </w:rPr>
              <w:t>100.00</w:t>
            </w:r>
          </w:p>
        </w:tc>
      </w:tr>
    </w:tbl>
    <w:p w:rsidR="00C521FC" w:rsidRPr="00E345FB" w:rsidRDefault="00C521FC" w:rsidP="00E345FB">
      <w:pPr>
        <w:suppressAutoHyphens/>
        <w:jc w:val="both"/>
        <w:rPr>
          <w:b/>
          <w:sz w:val="22"/>
          <w:szCs w:val="22"/>
          <w:lang w:val="en-GB"/>
        </w:rPr>
      </w:pPr>
    </w:p>
    <w:p w:rsidR="00132CC0" w:rsidRPr="00E345FB" w:rsidRDefault="00132CC0" w:rsidP="00E345FB">
      <w:pPr>
        <w:suppressAutoHyphens/>
        <w:jc w:val="both"/>
        <w:rPr>
          <w:b/>
          <w:sz w:val="22"/>
          <w:szCs w:val="22"/>
          <w:lang w:val="en-GB"/>
        </w:rPr>
      </w:pPr>
    </w:p>
    <w:p w:rsidR="00947AD3" w:rsidRDefault="00947AD3" w:rsidP="00E345FB">
      <w:pPr>
        <w:suppressAutoHyphens/>
        <w:jc w:val="both"/>
        <w:rPr>
          <w:b/>
          <w:bCs/>
          <w:i/>
          <w:iCs/>
          <w:sz w:val="22"/>
          <w:szCs w:val="22"/>
          <w:lang w:val="en-GB"/>
        </w:rPr>
        <w:sectPr w:rsidR="00947AD3" w:rsidSect="000479B9">
          <w:headerReference w:type="first" r:id="rId12"/>
          <w:type w:val="continuous"/>
          <w:pgSz w:w="11907" w:h="16840" w:code="9"/>
          <w:pgMar w:top="1440" w:right="1440" w:bottom="1440" w:left="1440" w:header="709" w:footer="709" w:gutter="0"/>
          <w:cols w:space="284"/>
          <w:titlePg/>
          <w:docGrid w:linePitch="360"/>
        </w:sectPr>
      </w:pPr>
    </w:p>
    <w:p w:rsidR="008238E0" w:rsidRPr="00E345FB" w:rsidRDefault="002E7626" w:rsidP="00E345FB">
      <w:pPr>
        <w:suppressAutoHyphens/>
        <w:jc w:val="both"/>
        <w:rPr>
          <w:rFonts w:eastAsia="Times New Roman"/>
          <w:b/>
          <w:bCs/>
          <w:sz w:val="22"/>
          <w:szCs w:val="22"/>
          <w:lang w:val="en-GB" w:eastAsia="zh-CN"/>
        </w:rPr>
      </w:pPr>
      <w:r w:rsidRPr="00E345FB">
        <w:rPr>
          <w:b/>
          <w:bCs/>
          <w:i/>
          <w:iCs/>
          <w:sz w:val="22"/>
          <w:szCs w:val="22"/>
          <w:lang w:val="en-GB"/>
        </w:rPr>
        <w:lastRenderedPageBreak/>
        <w:t>Publication Growth and Trends in Design Thinking Literature</w:t>
      </w:r>
    </w:p>
    <w:p w:rsidR="00E54EC3" w:rsidRPr="00E345FB" w:rsidRDefault="00AA1BD5" w:rsidP="00E345FB">
      <w:pPr>
        <w:pStyle w:val="SAP-Paragraph"/>
        <w:suppressAutoHyphens/>
        <w:spacing w:line="240" w:lineRule="auto"/>
        <w:ind w:firstLineChars="0" w:firstLine="0"/>
        <w:rPr>
          <w:sz w:val="22"/>
          <w:szCs w:val="22"/>
          <w:lang w:val="en-GB"/>
        </w:rPr>
      </w:pPr>
      <w:r w:rsidRPr="00E345FB">
        <w:rPr>
          <w:sz w:val="22"/>
          <w:szCs w:val="22"/>
          <w:lang w:val="en-GB"/>
        </w:rPr>
        <w:t>A search on the Scopus database found 18</w:t>
      </w:r>
      <w:r w:rsidR="00DC27AF" w:rsidRPr="00E345FB">
        <w:rPr>
          <w:sz w:val="22"/>
          <w:szCs w:val="22"/>
          <w:lang w:val="en-GB"/>
        </w:rPr>
        <w:t>75</w:t>
      </w:r>
      <w:r w:rsidRPr="00E345FB">
        <w:rPr>
          <w:sz w:val="22"/>
          <w:szCs w:val="22"/>
          <w:lang w:val="en-GB"/>
        </w:rPr>
        <w:t xml:space="preserve"> scientific articles published from 2000 to 2021. Patterns over time were assessed by examining documents based on the year of publication. Trends in publications and citations are essential indicators in determining developments in a discipline, field, or topic</w:t>
      </w:r>
      <w:r w:rsidR="00064DD5" w:rsidRPr="00E345FB">
        <w:rPr>
          <w:sz w:val="22"/>
          <w:szCs w:val="22"/>
          <w:lang w:val="en-GB"/>
        </w:rPr>
        <w:fldChar w:fldCharType="begin" w:fldLock="1"/>
      </w:r>
      <w:r w:rsidR="005C7D18" w:rsidRPr="00E345FB">
        <w:rPr>
          <w:sz w:val="22"/>
          <w:szCs w:val="22"/>
          <w:lang w:val="en-GB"/>
        </w:rPr>
        <w:instrText>ADDIN CSL_CITATION {"citationItems":[{"id":"ITEM-1","itemData":{"DOI":"10.1371/JOURNAL.PONE.0254988","ISSN":"19326203","PMID":"34370749","abstract":"Background During uncertainties associated with the COVID-19 pandemic, effectively improving people's health literacy is more important than ever. Drawing knowledge maps of health literacy research through data mining and visualized measurement technology helps systematically present the research status and development trends in global academic circles. Methods This paper uses CiteSpace to carry out a metric analysis of 9,492 health literacy papers included in Web of Science through mapping knowledge domains. First, based on the production theory of scientific knowledge and the data mining of citations, the main bodies (country, institution and author) that produce health literacy knowledge as well as their mutual cooperation (collaboration network) are both clarified. Additionally, based on the quantitative framework of cocitation analysis, this paper introduces the interdisciplinary features, development trends and hot topics of the field. Finally, by using burst detection technology in the literature, it further reveals the research frontiers of health literacy. Results The results of the BC measures of the global health literacy research collaboration network show that the United States, Australia and the United Kingdom are the major forces in the current international collaboration network on health literacy. There are still relatively very few transnational collaborations between Eastern and Western research institutions. Collaborations in public environmental occupational health, health care science services, nursing and health policy services have been active in the past five years. Research topics in health literacy research evolve over time, mental health has been the most active research field in recent years. Conclusions A systematic approach is needed to address the challenges of health literacy, and the network framework of cooperation on health literacy at regional, national and global levels should be strengthened to further promote the application of health literacy research. In the future, we anticipate that this research field will expand in two directions, namely, mental health literacy and eHealth literacy, both of which are closely linked to social development and issues. The results of this study provide references for future applied research in health literacy.","author":[{"dropping-particle":"","family":"Qi","given":"Shaojie","non-dropping-particle":"","parse-names":false,"suffix":""},{"dropping-particle":"","family":"Hua","given":"Fengrui","non-dropping-particle":"","parse-names":false,"suffix":""},{"dropping-particle":"","family":"Xu","given":"Shengyuan","non-dropping-particle":"","parse-names":false,"suffix":""},{"dropping-particle":"","family":"Zhou","given":"Zheng","non-dropping-particle":"","parse-names":false,"suffix":""},{"dropping-particle":"","family":"Liu","given":"Feng","non-dropping-particle":"","parse-names":false,"suffix":""}],"container-title":"PLoS ONE","id":"ITEM-1","issue":"8 August","issued":{"date-parts":[["2021","8","1"]]},"publisher":"Public Library of Science","title":"Trends of global health literacy research (1995-2020): Analysis of mapping knowledge domains based on citation data mining","type":"article-journal","volume":"16"},"uris":["http://www.mendeley.com/documents/?uuid=0bce4ce3-71e7-300f-9e3f-8938f22c414f"]}],"mendeley":{"formattedCitation":"(Qi et al., 2021)","plainTextFormattedCitation":"(Qi et al., 2021)","previouslyFormattedCitation":"(Qi et al., 2021)"},"properties":{"noteIndex":0},"schema":"https://github.com/citation-style-language/schema/raw/master/csl-citation.json"}</w:instrText>
      </w:r>
      <w:r w:rsidR="00064DD5" w:rsidRPr="00E345FB">
        <w:rPr>
          <w:sz w:val="22"/>
          <w:szCs w:val="22"/>
          <w:lang w:val="en-GB"/>
        </w:rPr>
        <w:fldChar w:fldCharType="separate"/>
      </w:r>
      <w:r w:rsidR="000F0D47" w:rsidRPr="00E345FB">
        <w:rPr>
          <w:noProof/>
          <w:sz w:val="22"/>
          <w:szCs w:val="22"/>
          <w:lang w:val="en-GB"/>
        </w:rPr>
        <w:t>(Qi et al., 2021)</w:t>
      </w:r>
      <w:r w:rsidR="00064DD5" w:rsidRPr="00E345FB">
        <w:rPr>
          <w:sz w:val="22"/>
          <w:szCs w:val="22"/>
          <w:lang w:val="en-GB"/>
        </w:rPr>
        <w:fldChar w:fldCharType="end"/>
      </w:r>
      <w:r w:rsidRPr="00E345FB">
        <w:rPr>
          <w:sz w:val="22"/>
          <w:szCs w:val="22"/>
          <w:lang w:val="en-GB"/>
        </w:rPr>
        <w:t xml:space="preserve">. There was an increase in the number of publications of documents during the study period. </w:t>
      </w:r>
      <w:r w:rsidR="007F2D05" w:rsidRPr="00E345FB">
        <w:rPr>
          <w:sz w:val="22"/>
          <w:szCs w:val="22"/>
          <w:lang w:val="en-GB"/>
        </w:rPr>
        <w:t>Figure 2</w:t>
      </w:r>
      <w:r w:rsidR="00E95881" w:rsidRPr="00E345FB">
        <w:rPr>
          <w:sz w:val="22"/>
          <w:szCs w:val="22"/>
          <w:lang w:val="en-GB"/>
        </w:rPr>
        <w:t>represents the publication trend of design thinking papers between 2000 and 2021</w:t>
      </w:r>
      <w:r w:rsidR="007F2D05" w:rsidRPr="00E345FB">
        <w:rPr>
          <w:sz w:val="22"/>
          <w:szCs w:val="22"/>
          <w:lang w:val="en-GB"/>
        </w:rPr>
        <w:t>, the distribution of the number of publications</w:t>
      </w:r>
      <w:r w:rsidR="00497C52" w:rsidRPr="00E345FB">
        <w:rPr>
          <w:sz w:val="22"/>
          <w:szCs w:val="22"/>
          <w:lang w:val="en-GB"/>
        </w:rPr>
        <w:t>,</w:t>
      </w:r>
      <w:r w:rsidR="007F2D05" w:rsidRPr="00E345FB">
        <w:rPr>
          <w:sz w:val="22"/>
          <w:szCs w:val="22"/>
          <w:lang w:val="en-GB"/>
        </w:rPr>
        <w:t xml:space="preserve"> and </w:t>
      </w:r>
      <w:r w:rsidR="00497C52" w:rsidRPr="00E345FB">
        <w:rPr>
          <w:sz w:val="22"/>
          <w:szCs w:val="22"/>
          <w:lang w:val="en-GB"/>
        </w:rPr>
        <w:t xml:space="preserve">the </w:t>
      </w:r>
      <w:r w:rsidR="007F2D05" w:rsidRPr="00E345FB">
        <w:rPr>
          <w:sz w:val="22"/>
          <w:szCs w:val="22"/>
          <w:lang w:val="en-GB"/>
        </w:rPr>
        <w:t>cumulative percentage by year</w:t>
      </w:r>
      <w:r w:rsidR="00E95881" w:rsidRPr="00E345FB">
        <w:rPr>
          <w:sz w:val="22"/>
          <w:szCs w:val="22"/>
          <w:lang w:val="en-GB"/>
        </w:rPr>
        <w:t xml:space="preserve">. </w:t>
      </w:r>
      <w:r w:rsidR="00E54EC3" w:rsidRPr="00E345FB">
        <w:rPr>
          <w:sz w:val="22"/>
          <w:szCs w:val="22"/>
          <w:lang w:val="en-GB"/>
        </w:rPr>
        <w:t>The data was retrieved from the Scopus database using the keyword “design thinking</w:t>
      </w:r>
      <w:r w:rsidR="00497C52" w:rsidRPr="00E345FB">
        <w:rPr>
          <w:sz w:val="22"/>
          <w:szCs w:val="22"/>
          <w:lang w:val="en-GB"/>
        </w:rPr>
        <w:t>”</w:t>
      </w:r>
      <w:r w:rsidR="00DC27AF" w:rsidRPr="00E345FB">
        <w:rPr>
          <w:sz w:val="22"/>
          <w:szCs w:val="22"/>
          <w:lang w:val="en-GB"/>
        </w:rPr>
        <w:t>.</w:t>
      </w:r>
    </w:p>
    <w:p w:rsidR="00E54EC3" w:rsidRPr="00E345FB" w:rsidRDefault="00E54EC3" w:rsidP="00E345FB">
      <w:pPr>
        <w:pStyle w:val="SAP-Paragraph"/>
        <w:suppressAutoHyphens/>
        <w:spacing w:line="240" w:lineRule="auto"/>
        <w:ind w:firstLineChars="0" w:firstLine="0"/>
        <w:rPr>
          <w:sz w:val="22"/>
          <w:szCs w:val="22"/>
          <w:lang w:val="en-GB"/>
        </w:rPr>
      </w:pPr>
    </w:p>
    <w:p w:rsidR="00AA1BD5" w:rsidRPr="00E345FB" w:rsidRDefault="000E32C7" w:rsidP="00E345FB">
      <w:pPr>
        <w:pStyle w:val="SAP-Paragraph"/>
        <w:suppressAutoHyphens/>
        <w:spacing w:line="240" w:lineRule="auto"/>
        <w:ind w:firstLineChars="0" w:firstLine="0"/>
        <w:rPr>
          <w:sz w:val="22"/>
          <w:szCs w:val="22"/>
          <w:lang w:val="en-GB"/>
        </w:rPr>
      </w:pPr>
      <w:r w:rsidRPr="00E345FB">
        <w:rPr>
          <w:sz w:val="22"/>
          <w:szCs w:val="22"/>
          <w:lang w:val="en-GB"/>
        </w:rPr>
        <w:t xml:space="preserve">From 2000 to 2006, only 27 articles were published, and these publications were cited </w:t>
      </w:r>
      <w:r w:rsidRPr="00E345FB">
        <w:rPr>
          <w:sz w:val="22"/>
          <w:szCs w:val="22"/>
          <w:lang w:val="en-GB"/>
        </w:rPr>
        <w:lastRenderedPageBreak/>
        <w:t xml:space="preserve">3004 times. An increasing trend has been observed from 2007 to 2014, with 315 </w:t>
      </w:r>
      <w:r w:rsidR="00497C52" w:rsidRPr="00E345FB">
        <w:rPr>
          <w:sz w:val="22"/>
          <w:szCs w:val="22"/>
          <w:lang w:val="en-GB"/>
        </w:rPr>
        <w:t>papers</w:t>
      </w:r>
      <w:r w:rsidRPr="00E345FB">
        <w:rPr>
          <w:sz w:val="22"/>
          <w:szCs w:val="22"/>
          <w:lang w:val="en-GB"/>
        </w:rPr>
        <w:t xml:space="preserve"> have been published. Between (2015–2021), the publication grew to 1533 articles, whereas the citations were 8553 times. The journal has shown impressive growth in terms of publication and total citation. This has </w:t>
      </w:r>
      <w:r w:rsidR="00497C52" w:rsidRPr="00E345FB">
        <w:rPr>
          <w:sz w:val="22"/>
          <w:szCs w:val="22"/>
          <w:lang w:val="en-GB"/>
        </w:rPr>
        <w:t>established</w:t>
      </w:r>
      <w:r w:rsidRPr="00E345FB">
        <w:rPr>
          <w:sz w:val="22"/>
          <w:szCs w:val="22"/>
          <w:lang w:val="en-GB"/>
        </w:rPr>
        <w:t xml:space="preserve"> an impressive growth trend in total publications and citations in design thinking research</w:t>
      </w:r>
      <w:r w:rsidR="00497C52" w:rsidRPr="00E345FB">
        <w:rPr>
          <w:sz w:val="22"/>
          <w:szCs w:val="22"/>
          <w:lang w:val="en-GB"/>
        </w:rPr>
        <w:t>.</w:t>
      </w:r>
    </w:p>
    <w:p w:rsidR="00AA1BD5" w:rsidRPr="00E345FB" w:rsidRDefault="00AA1BD5" w:rsidP="00E345FB">
      <w:pPr>
        <w:pStyle w:val="SAP-Paragraph"/>
        <w:suppressAutoHyphens/>
        <w:spacing w:line="240" w:lineRule="auto"/>
        <w:ind w:firstLine="220"/>
        <w:rPr>
          <w:sz w:val="22"/>
          <w:szCs w:val="22"/>
          <w:lang w:val="en-GB"/>
        </w:rPr>
      </w:pPr>
    </w:p>
    <w:p w:rsidR="000E32C7" w:rsidRPr="00E345FB" w:rsidRDefault="00AA1BD5" w:rsidP="00E345FB">
      <w:pPr>
        <w:pStyle w:val="SAP-Paragraph"/>
        <w:suppressAutoHyphens/>
        <w:spacing w:line="240" w:lineRule="auto"/>
        <w:ind w:firstLineChars="0" w:firstLine="0"/>
        <w:rPr>
          <w:sz w:val="22"/>
          <w:szCs w:val="22"/>
          <w:lang w:val="en-GB"/>
        </w:rPr>
      </w:pPr>
      <w:r w:rsidRPr="00E345FB">
        <w:rPr>
          <w:sz w:val="22"/>
          <w:szCs w:val="22"/>
          <w:lang w:val="en-GB"/>
        </w:rPr>
        <w:t xml:space="preserve">The highest productivity was observed in 2021, with 302 documents. The annual citation matrix for documents retrieved is shown in Table </w:t>
      </w:r>
      <w:r w:rsidR="00046D77" w:rsidRPr="00E345FB">
        <w:rPr>
          <w:sz w:val="22"/>
          <w:szCs w:val="22"/>
          <w:lang w:val="en-GB"/>
        </w:rPr>
        <w:t>2</w:t>
      </w:r>
      <w:r w:rsidRPr="00E345FB">
        <w:rPr>
          <w:sz w:val="22"/>
          <w:szCs w:val="22"/>
          <w:lang w:val="en-GB"/>
        </w:rPr>
        <w:t>. The number of citations per publication is the highest for documents published in 2005 (121.24 citations per publication), while the lowest is for documents published in 2002 (1.20 citations per publication).</w:t>
      </w:r>
    </w:p>
    <w:p w:rsidR="00C521FC" w:rsidRPr="00E345FB" w:rsidRDefault="00C521FC" w:rsidP="00E345FB">
      <w:pPr>
        <w:pStyle w:val="SAP-Paragraph"/>
        <w:suppressAutoHyphens/>
        <w:spacing w:line="240" w:lineRule="auto"/>
        <w:ind w:firstLineChars="0" w:firstLine="0"/>
        <w:rPr>
          <w:sz w:val="22"/>
          <w:szCs w:val="22"/>
          <w:lang w:val="en-GB"/>
        </w:rPr>
      </w:pPr>
    </w:p>
    <w:p w:rsidR="00947AD3" w:rsidRDefault="00947AD3" w:rsidP="00E345FB">
      <w:pPr>
        <w:pStyle w:val="SAP-Paragraph"/>
        <w:suppressAutoHyphens/>
        <w:spacing w:line="240" w:lineRule="auto"/>
        <w:ind w:firstLineChars="0" w:firstLine="0"/>
        <w:rPr>
          <w:sz w:val="22"/>
          <w:szCs w:val="22"/>
          <w:lang w:val="en-GB"/>
        </w:rPr>
        <w:sectPr w:rsidR="00947AD3" w:rsidSect="00947AD3">
          <w:type w:val="continuous"/>
          <w:pgSz w:w="11907" w:h="16840" w:code="9"/>
          <w:pgMar w:top="1440" w:right="1440" w:bottom="1440" w:left="1440" w:header="709" w:footer="709" w:gutter="0"/>
          <w:cols w:num="2" w:space="284"/>
          <w:titlePg/>
          <w:docGrid w:linePitch="360"/>
        </w:sectPr>
      </w:pPr>
    </w:p>
    <w:p w:rsidR="00C521FC" w:rsidRPr="00E345FB" w:rsidRDefault="00C521FC" w:rsidP="00E345FB">
      <w:pPr>
        <w:pStyle w:val="SAP-Paragraph"/>
        <w:suppressAutoHyphens/>
        <w:spacing w:line="240" w:lineRule="auto"/>
        <w:ind w:firstLineChars="0" w:firstLine="0"/>
        <w:rPr>
          <w:sz w:val="22"/>
          <w:szCs w:val="22"/>
          <w:lang w:val="en-GB"/>
        </w:rPr>
      </w:pPr>
      <w:r w:rsidRPr="00E345FB">
        <w:rPr>
          <w:noProof/>
          <w:sz w:val="22"/>
          <w:szCs w:val="22"/>
          <w:lang w:val="en-US" w:eastAsia="en-US"/>
        </w:rPr>
        <w:lastRenderedPageBreak/>
        <w:drawing>
          <wp:anchor distT="0" distB="0" distL="114300" distR="114300" simplePos="0" relativeHeight="251682816" behindDoc="0" locked="0" layoutInCell="1" allowOverlap="1">
            <wp:simplePos x="0" y="0"/>
            <wp:positionH relativeFrom="column">
              <wp:posOffset>-47625</wp:posOffset>
            </wp:positionH>
            <wp:positionV relativeFrom="paragraph">
              <wp:posOffset>188595</wp:posOffset>
            </wp:positionV>
            <wp:extent cx="5732145" cy="3466465"/>
            <wp:effectExtent l="0" t="0" r="1905" b="635"/>
            <wp:wrapNone/>
            <wp:docPr id="14" name="Chart 14">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453B71B-0060-441C-BE5B-10C670F0C1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C521FC" w:rsidRPr="00E345FB" w:rsidRDefault="00C521FC" w:rsidP="00E345FB">
      <w:pPr>
        <w:pStyle w:val="SAP-Paragraph"/>
        <w:suppressAutoHyphens/>
        <w:spacing w:line="240" w:lineRule="auto"/>
        <w:ind w:firstLineChars="0" w:firstLine="0"/>
        <w:rPr>
          <w:sz w:val="22"/>
          <w:szCs w:val="22"/>
          <w:lang w:val="en-GB"/>
        </w:rPr>
      </w:pPr>
    </w:p>
    <w:p w:rsidR="00C521FC" w:rsidRPr="00E345FB" w:rsidRDefault="00064DD5" w:rsidP="00E345FB">
      <w:pPr>
        <w:pStyle w:val="SAP-Paragraph"/>
        <w:suppressAutoHyphens/>
        <w:spacing w:line="240" w:lineRule="auto"/>
        <w:ind w:firstLineChars="0" w:firstLine="0"/>
        <w:rPr>
          <w:noProof/>
          <w:sz w:val="22"/>
          <w:szCs w:val="22"/>
        </w:rPr>
      </w:pPr>
      <w:r w:rsidRPr="00064DD5">
        <w:rPr>
          <w:noProof/>
          <w:sz w:val="22"/>
          <w:szCs w:val="22"/>
          <w:lang w:val="en-MY" w:eastAsia="en-MY"/>
        </w:rPr>
        <w:pict>
          <v:line id="_x0000_s1065" style="position:absolute;left:0;text-align:left;z-index:251686912;visibility:visible" from="383.75pt,11.2pt" to="384.95pt,1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" strokecolor="#4472c4" strokeweight=".5pt">
            <v:stroke dashstyle="dash" joinstyle="miter"/>
          </v:line>
        </w:pict>
      </w:r>
      <w:r w:rsidRPr="00064DD5">
        <w:rPr>
          <w:noProof/>
          <w:sz w:val="22"/>
          <w:szCs w:val="22"/>
          <w:lang w:val="en-MY" w:eastAsia="en-MY"/>
        </w:rPr>
        <w:pict>
          <v:line id="_x0000_s1064" style="position:absolute;left:0;text-align:left;z-index:251685888;visibility:visible" from="269.8pt,11.2pt" to="271pt,1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" strokecolor="#4472c4" strokeweight=".5pt">
            <v:stroke dashstyle="dash" joinstyle="miter"/>
          </v:line>
        </w:pict>
      </w:r>
      <w:r w:rsidRPr="00064DD5">
        <w:rPr>
          <w:noProof/>
          <w:sz w:val="22"/>
          <w:szCs w:val="22"/>
          <w:lang w:val="en-MY" w:eastAsia="en-MY"/>
        </w:rPr>
        <w:pict>
          <v:line id="Straight Connector 1" o:spid="_x0000_s1063" style="position:absolute;left:0;text-align:left;z-index:251684864;visibility:visible" from="148.8pt,11.3pt" to="150pt,1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" strokecolor="#4472c4" strokeweight=".5pt">
            <v:stroke dashstyle="dash" joinstyle="miter"/>
          </v:line>
        </w:pict>
      </w:r>
    </w:p>
    <w:p w:rsidR="000E32C7" w:rsidRPr="00E345FB" w:rsidRDefault="00064DD5" w:rsidP="00E345FB">
      <w:pPr>
        <w:pStyle w:val="SAP-Paragraph"/>
        <w:suppressAutoHyphens/>
        <w:spacing w:line="240" w:lineRule="auto"/>
        <w:ind w:firstLineChars="0" w:firstLine="0"/>
        <w:rPr>
          <w:noProof/>
          <w:sz w:val="22"/>
          <w:szCs w:val="22"/>
        </w:rPr>
      </w:pPr>
      <w:r w:rsidRPr="00064DD5">
        <w:rPr>
          <w:noProof/>
          <w:sz w:val="22"/>
          <w:szCs w:val="22"/>
          <w:lang w:val="en-MY" w:eastAsia="en-MY"/>
        </w:rPr>
        <w:pict>
          <v:shapetype id="_x0000_t202" coordsize="21600,21600" o:spt="202" path="m,l,21600r21600,l21600,xe">
            <v:stroke joinstyle="miter"/>
            <v:path gradientshapeok="t" o:connecttype="rect"/>
          </v:shapetype>
          <v:shape id="TextBox 14" o:spid="_x0000_s1057" type="#_x0000_t202" style="position:absolute;left:0;text-align:left;margin-left:177.9pt;margin-top:73.8pt;width:65.2pt;height:18.65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" fillcolor="window" strokecolor="#bcbcbc">
            <v:textbox>
              <w:txbxContent>
                <w:p w:rsidR="00E345FB" w:rsidRPr="002F69FB" w:rsidRDefault="00E345FB" w:rsidP="000E32C7">
                  <w:pPr>
                    <w:jc w:val="center"/>
                    <w:rPr>
                      <w:color w:val="000000" w:themeColor="dark1"/>
                      <w:sz w:val="20"/>
                      <w:szCs w:val="20"/>
                    </w:rPr>
                  </w:pPr>
                  <w:r w:rsidRPr="002F69FB">
                    <w:rPr>
                      <w:color w:val="000000" w:themeColor="dark1"/>
                      <w:sz w:val="20"/>
                      <w:szCs w:val="20"/>
                    </w:rPr>
                    <w:t>315 Articles</w:t>
                  </w:r>
                </w:p>
              </w:txbxContent>
            </v:textbox>
          </v:shape>
        </w:pict>
      </w:r>
      <w:r w:rsidRPr="00064DD5">
        <w:rPr>
          <w:noProof/>
          <w:sz w:val="22"/>
          <w:szCs w:val="22"/>
          <w:lang w:val="en-MY" w:eastAsia="en-MY"/>
        </w:rPr>
        <w:pict>
          <v:shape id="TextBox 15" o:spid="_x0000_s1058" type="#_x0000_t202" style="position:absolute;left:0;text-align:left;margin-left:62.7pt;margin-top:126.65pt;width:73.65pt;height:17.8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" fillcolor="window" strokecolor="#bcbcbc">
            <v:textbox>
              <w:txbxContent>
                <w:p w:rsidR="00E345FB" w:rsidRPr="002F69FB" w:rsidRDefault="00E345FB" w:rsidP="000E32C7">
                  <w:pPr>
                    <w:jc w:val="center"/>
                    <w:rPr>
                      <w:color w:val="000000" w:themeColor="dark1"/>
                      <w:sz w:val="20"/>
                      <w:szCs w:val="20"/>
                    </w:rPr>
                  </w:pPr>
                  <w:r>
                    <w:rPr>
                      <w:color w:val="000000" w:themeColor="dark1"/>
                      <w:sz w:val="20"/>
                      <w:szCs w:val="20"/>
                    </w:rPr>
                    <w:t>27</w:t>
                  </w:r>
                  <w:r w:rsidRPr="002F69FB">
                    <w:rPr>
                      <w:color w:val="000000" w:themeColor="dark1"/>
                      <w:sz w:val="20"/>
                      <w:szCs w:val="20"/>
                    </w:rPr>
                    <w:t xml:space="preserve"> Articles</w:t>
                  </w:r>
                </w:p>
              </w:txbxContent>
            </v:textbox>
          </v:shape>
        </w:pict>
      </w:r>
      <w:r w:rsidRPr="00064DD5">
        <w:rPr>
          <w:noProof/>
          <w:sz w:val="22"/>
          <w:szCs w:val="22"/>
          <w:lang w:val="en-MY" w:eastAsia="en-MY"/>
        </w:rPr>
        <w:pict>
          <v:shape id="_x0000_s1059" type="#_x0000_t202" style="position:absolute;left:0;text-align:left;margin-left:276.15pt;margin-top:8.6pt;width:73.65pt;height:17.8pt;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" fillcolor="window" strokecolor="#bcbcbc">
            <v:textbox>
              <w:txbxContent>
                <w:p w:rsidR="00E345FB" w:rsidRPr="002F69FB" w:rsidRDefault="00E345FB" w:rsidP="000E32C7">
                  <w:pPr>
                    <w:jc w:val="center"/>
                    <w:rPr>
                      <w:color w:val="000000" w:themeColor="dark1"/>
                      <w:sz w:val="20"/>
                      <w:szCs w:val="20"/>
                    </w:rPr>
                  </w:pPr>
                  <w:r w:rsidRPr="002F69FB">
                    <w:rPr>
                      <w:color w:val="000000" w:themeColor="dark1"/>
                      <w:sz w:val="20"/>
                      <w:szCs w:val="20"/>
                    </w:rPr>
                    <w:t>1533 Articles</w:t>
                  </w:r>
                </w:p>
              </w:txbxContent>
            </v:textbox>
          </v:shape>
        </w:pict>
      </w:r>
      <w:r w:rsidRPr="00064DD5">
        <w:rPr>
          <w:noProof/>
          <w:color w:val="FF0000"/>
          <w:sz w:val="22"/>
          <w:szCs w:val="22"/>
          <w:lang w:val="en-MY" w:eastAsia="en-MY"/>
        </w:rPr>
        <w:pict>
          <v:shape id="Straight Arrow Connector 20" o:spid="_x0000_s1062" type="#_x0000_t32" style="position:absolute;left:0;text-align:left;margin-left:147.4pt;margin-top:128.9pt;width:122pt;height:42.65pt;flip:y;z-index:2516889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" strokecolor="#548235" strokeweight=".5pt">
            <v:stroke endarrow="block" joinstyle="miter"/>
          </v:shape>
        </w:pict>
      </w:r>
      <w:r w:rsidRPr="00064DD5">
        <w:rPr>
          <w:noProof/>
          <w:sz w:val="22"/>
          <w:szCs w:val="22"/>
          <w:lang w:val="en-MY" w:eastAsia="en-MY"/>
        </w:rPr>
        <w:pict>
          <v:shape id="Straight Arrow Connector 21" o:spid="_x0000_s1061" type="#_x0000_t32" style="position:absolute;left:0;text-align:left;margin-left:270.2pt;margin-top:17.95pt;width:97.55pt;height:111.4pt;flip:y;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" strokecolor="#548235" strokeweight=".5pt">
            <v:stroke endarrow="block" joinstyle="miter"/>
          </v:shape>
        </w:pict>
      </w:r>
      <w:r w:rsidRPr="00064DD5">
        <w:rPr>
          <w:noProof/>
          <w:sz w:val="22"/>
          <w:szCs w:val="22"/>
          <w:lang w:val="en-MY" w:eastAsia="en-MY"/>
        </w:rPr>
        <w:pict>
          <v:shape id="Straight Arrow Connector 22" o:spid="_x0000_s1060" type="#_x0000_t32" style="position:absolute;left:0;text-align:left;margin-left:51.65pt;margin-top:172.35pt;width:90.6pt;height:19.7pt;flip:y;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" strokecolor="#548235" strokeweight=".5pt">
            <v:stroke endarrow="block" joinstyle="miter"/>
          </v:shape>
        </w:pict>
      </w:r>
    </w:p>
    <w:p w:rsidR="000E32C7" w:rsidRPr="00E345FB" w:rsidRDefault="000E32C7" w:rsidP="00E345FB">
      <w:pPr>
        <w:pStyle w:val="SAP-Paragraph"/>
        <w:suppressAutoHyphens/>
        <w:spacing w:line="240" w:lineRule="auto"/>
        <w:ind w:firstLineChars="0" w:firstLine="0"/>
        <w:rPr>
          <w:noProof/>
          <w:sz w:val="22"/>
          <w:szCs w:val="22"/>
        </w:rPr>
      </w:pPr>
    </w:p>
    <w:p w:rsidR="000E32C7" w:rsidRPr="00E345FB" w:rsidRDefault="000E32C7" w:rsidP="00E345FB">
      <w:pPr>
        <w:pStyle w:val="SAP-Paragraph"/>
        <w:suppressAutoHyphens/>
        <w:spacing w:line="240" w:lineRule="auto"/>
        <w:ind w:firstLineChars="0" w:firstLine="0"/>
        <w:rPr>
          <w:noProof/>
          <w:sz w:val="22"/>
          <w:szCs w:val="22"/>
        </w:rPr>
      </w:pPr>
    </w:p>
    <w:p w:rsidR="000E32C7" w:rsidRPr="00E345FB" w:rsidRDefault="000E32C7" w:rsidP="00E345FB">
      <w:pPr>
        <w:pStyle w:val="SAP-Paragraph"/>
        <w:suppressAutoHyphens/>
        <w:spacing w:line="240" w:lineRule="auto"/>
        <w:ind w:firstLineChars="0" w:firstLine="0"/>
        <w:rPr>
          <w:noProof/>
          <w:sz w:val="22"/>
          <w:szCs w:val="22"/>
        </w:rPr>
      </w:pPr>
    </w:p>
    <w:p w:rsidR="000E32C7" w:rsidRPr="00E345FB" w:rsidRDefault="000E32C7" w:rsidP="00E345FB">
      <w:pPr>
        <w:pStyle w:val="SAP-Paragraph"/>
        <w:suppressAutoHyphens/>
        <w:spacing w:line="240" w:lineRule="auto"/>
        <w:ind w:firstLineChars="0" w:firstLine="0"/>
        <w:rPr>
          <w:noProof/>
          <w:sz w:val="22"/>
          <w:szCs w:val="22"/>
        </w:rPr>
      </w:pPr>
    </w:p>
    <w:p w:rsidR="000E32C7" w:rsidRPr="00E345FB" w:rsidRDefault="000E32C7" w:rsidP="00E345FB">
      <w:pPr>
        <w:pStyle w:val="SAP-Paragraph"/>
        <w:suppressAutoHyphens/>
        <w:spacing w:line="240" w:lineRule="auto"/>
        <w:ind w:firstLineChars="0" w:firstLine="0"/>
        <w:rPr>
          <w:noProof/>
          <w:sz w:val="22"/>
          <w:szCs w:val="22"/>
        </w:rPr>
      </w:pPr>
    </w:p>
    <w:p w:rsidR="000E32C7" w:rsidRPr="00E345FB" w:rsidRDefault="000E32C7" w:rsidP="00E345FB">
      <w:pPr>
        <w:pStyle w:val="SAP-Paragraph"/>
        <w:suppressAutoHyphens/>
        <w:spacing w:line="240" w:lineRule="auto"/>
        <w:ind w:firstLineChars="0" w:firstLine="0"/>
        <w:rPr>
          <w:noProof/>
          <w:sz w:val="22"/>
          <w:szCs w:val="22"/>
        </w:rPr>
      </w:pPr>
    </w:p>
    <w:p w:rsidR="000E32C7" w:rsidRPr="00E345FB" w:rsidRDefault="000E32C7" w:rsidP="00E345FB">
      <w:pPr>
        <w:pStyle w:val="SAP-Paragraph"/>
        <w:suppressAutoHyphens/>
        <w:spacing w:line="240" w:lineRule="auto"/>
        <w:ind w:firstLineChars="0" w:firstLine="0"/>
        <w:rPr>
          <w:noProof/>
          <w:sz w:val="22"/>
          <w:szCs w:val="22"/>
        </w:rPr>
      </w:pPr>
    </w:p>
    <w:p w:rsidR="000E32C7" w:rsidRPr="00E345FB" w:rsidRDefault="000E32C7" w:rsidP="00E345FB">
      <w:pPr>
        <w:pStyle w:val="SAP-Paragraph"/>
        <w:suppressAutoHyphens/>
        <w:spacing w:line="240" w:lineRule="auto"/>
        <w:ind w:firstLineChars="0" w:firstLine="0"/>
        <w:rPr>
          <w:noProof/>
          <w:sz w:val="22"/>
          <w:szCs w:val="22"/>
        </w:rPr>
      </w:pP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497C52" w:rsidP="00E345FB">
      <w:pPr>
        <w:pStyle w:val="SAP-Paragraph"/>
        <w:suppressAutoHyphens/>
        <w:spacing w:line="240" w:lineRule="auto"/>
        <w:ind w:firstLineChars="0" w:firstLine="0"/>
        <w:rPr>
          <w:sz w:val="22"/>
          <w:szCs w:val="22"/>
          <w:lang w:val="en-GB"/>
        </w:rPr>
      </w:pPr>
      <w:r w:rsidRPr="00E345FB">
        <w:rPr>
          <w:sz w:val="22"/>
          <w:szCs w:val="22"/>
          <w:lang w:val="en-GB"/>
        </w:rPr>
        <w:t>The</w:t>
      </w:r>
      <w:r w:rsidR="000E32C7" w:rsidRPr="00E345FB">
        <w:rPr>
          <w:sz w:val="22"/>
          <w:szCs w:val="22"/>
          <w:lang w:val="en-GB"/>
        </w:rPr>
        <w:t xml:space="preserve"> future research direction of the topic. The field of design thinking is gaining attention</w:t>
      </w:r>
      <w:r w:rsidRPr="00E345FB">
        <w:rPr>
          <w:sz w:val="22"/>
          <w:szCs w:val="22"/>
          <w:lang w:val="en-GB"/>
        </w:rPr>
        <w:t>.</w:t>
      </w: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C521FC" w:rsidP="00E345FB">
      <w:pPr>
        <w:pStyle w:val="SAP-Paragraph"/>
        <w:suppressAutoHyphens/>
        <w:spacing w:line="240" w:lineRule="auto"/>
        <w:ind w:firstLineChars="0" w:firstLine="0"/>
        <w:jc w:val="center"/>
        <w:rPr>
          <w:sz w:val="22"/>
          <w:szCs w:val="22"/>
          <w:lang w:val="en-GB"/>
        </w:rPr>
      </w:pPr>
      <w:r w:rsidRPr="00E345FB">
        <w:rPr>
          <w:b/>
          <w:bCs/>
          <w:sz w:val="22"/>
          <w:szCs w:val="22"/>
          <w:lang w:val="en-GB"/>
        </w:rPr>
        <w:t>Figure 2</w:t>
      </w:r>
      <w:r w:rsidRPr="00E345FB">
        <w:rPr>
          <w:sz w:val="22"/>
          <w:szCs w:val="22"/>
          <w:lang w:val="en-GB"/>
        </w:rPr>
        <w:t xml:space="preserve">. </w:t>
      </w:r>
      <w:r w:rsidR="000F0D47" w:rsidRPr="00E345FB">
        <w:rPr>
          <w:sz w:val="22"/>
          <w:szCs w:val="22"/>
          <w:lang w:val="en-GB"/>
        </w:rPr>
        <w:t>The rapid growth of design thinking publications</w:t>
      </w:r>
      <w:r w:rsidRPr="00E345FB">
        <w:rPr>
          <w:sz w:val="22"/>
          <w:szCs w:val="22"/>
          <w:lang w:val="en-GB"/>
        </w:rPr>
        <w:t>, 2000 – 2021 (n = 1875).</w:t>
      </w:r>
    </w:p>
    <w:p w:rsidR="000E32C7" w:rsidRPr="00E345FB" w:rsidRDefault="00046D77" w:rsidP="00E345FB">
      <w:pPr>
        <w:pStyle w:val="SAP-Paragraph"/>
        <w:suppressAutoHyphens/>
        <w:spacing w:line="240" w:lineRule="auto"/>
        <w:ind w:firstLineChars="0" w:firstLine="0"/>
        <w:jc w:val="center"/>
        <w:rPr>
          <w:sz w:val="22"/>
          <w:szCs w:val="22"/>
          <w:lang w:val="en-GB"/>
        </w:rPr>
      </w:pPr>
      <w:r w:rsidRPr="00E345FB">
        <w:rPr>
          <w:sz w:val="22"/>
          <w:szCs w:val="22"/>
          <w:lang w:val="en-GB"/>
        </w:rPr>
        <w:t>The future research direction of the topic. The field of design thinking is gaining attention</w:t>
      </w:r>
      <w:r w:rsidR="00497C52" w:rsidRPr="00E345FB">
        <w:rPr>
          <w:sz w:val="22"/>
          <w:szCs w:val="22"/>
          <w:lang w:val="en-GB"/>
        </w:rPr>
        <w:t>.</w:t>
      </w:r>
    </w:p>
    <w:p w:rsidR="00DB5E45" w:rsidRPr="00E345FB" w:rsidRDefault="00DB5E45" w:rsidP="00E345FB">
      <w:pPr>
        <w:pStyle w:val="SAP-Paragraph"/>
        <w:suppressAutoHyphens/>
        <w:spacing w:line="240" w:lineRule="auto"/>
        <w:ind w:firstLineChars="0" w:firstLine="0"/>
        <w:rPr>
          <w:sz w:val="22"/>
          <w:szCs w:val="22"/>
          <w:lang w:val="en-GB"/>
        </w:rPr>
      </w:pPr>
    </w:p>
    <w:p w:rsidR="00046D77" w:rsidRPr="00E345FB" w:rsidRDefault="00046D77" w:rsidP="00E345FB">
      <w:pPr>
        <w:pStyle w:val="SAP-TableHeadingSingleline"/>
        <w:suppressAutoHyphens/>
        <w:spacing w:before="0" w:after="0" w:line="240" w:lineRule="auto"/>
        <w:rPr>
          <w:bCs w:val="0"/>
          <w:sz w:val="22"/>
          <w:szCs w:val="22"/>
          <w:lang w:val="en-GB"/>
        </w:rPr>
      </w:pPr>
      <w:r w:rsidRPr="00E345FB">
        <w:rPr>
          <w:b/>
          <w:sz w:val="22"/>
          <w:szCs w:val="22"/>
          <w:lang w:val="en-GB"/>
        </w:rPr>
        <w:t>Table 2.</w:t>
      </w:r>
      <w:r w:rsidR="00497C52" w:rsidRPr="00E345FB">
        <w:rPr>
          <w:bCs w:val="0"/>
          <w:sz w:val="22"/>
          <w:szCs w:val="22"/>
          <w:lang w:val="en-GB"/>
        </w:rPr>
        <w:t>An annual</w:t>
      </w:r>
      <w:r w:rsidRPr="00E345FB">
        <w:rPr>
          <w:bCs w:val="0"/>
          <w:sz w:val="22"/>
          <w:szCs w:val="22"/>
          <w:lang w:val="en-GB"/>
        </w:rPr>
        <w:t xml:space="preserve"> number of publications and citation matrix.</w:t>
      </w:r>
    </w:p>
    <w:tbl>
      <w:tblPr>
        <w:tblW w:w="5000" w:type="pct"/>
        <w:jc w:val="center"/>
        <w:tblLook w:val="04A0"/>
      </w:tblPr>
      <w:tblGrid>
        <w:gridCol w:w="1103"/>
        <w:gridCol w:w="1162"/>
        <w:gridCol w:w="1163"/>
        <w:gridCol w:w="1163"/>
        <w:gridCol w:w="1163"/>
        <w:gridCol w:w="1163"/>
        <w:gridCol w:w="1163"/>
        <w:gridCol w:w="1163"/>
      </w:tblGrid>
      <w:tr w:rsidR="00046D77" w:rsidRPr="00E345FB" w:rsidTr="00E345FB">
        <w:trPr>
          <w:jc w:val="center"/>
        </w:trPr>
        <w:tc>
          <w:tcPr>
            <w:tcW w:w="597" w:type="pct"/>
            <w:tcBorders>
              <w:top w:val="single" w:sz="4" w:space="0" w:color="auto"/>
              <w:bottom w:val="single" w:sz="4" w:space="0" w:color="auto"/>
            </w:tcBorders>
            <w:shd w:val="clear" w:color="auto" w:fill="auto"/>
            <w:noWrap/>
            <w:vAlign w:val="bottom"/>
            <w:hideMark/>
          </w:tcPr>
          <w:p w:rsidR="00046D77" w:rsidRPr="00E345FB" w:rsidRDefault="00046D77" w:rsidP="00E345FB">
            <w:pPr>
              <w:suppressAutoHyphens/>
              <w:jc w:val="both"/>
              <w:rPr>
                <w:b/>
                <w:color w:val="000000"/>
                <w:sz w:val="22"/>
                <w:szCs w:val="22"/>
                <w:lang w:val="en-GB"/>
              </w:rPr>
            </w:pPr>
            <w:bookmarkStart w:id="3" w:name="OLE_LINK1"/>
            <w:r w:rsidRPr="00E345FB">
              <w:rPr>
                <w:b/>
                <w:color w:val="000000"/>
                <w:sz w:val="22"/>
                <w:szCs w:val="22"/>
                <w:lang w:val="en-GB"/>
              </w:rPr>
              <w:t>Year</w:t>
            </w:r>
          </w:p>
        </w:tc>
        <w:tc>
          <w:tcPr>
            <w:tcW w:w="629" w:type="pct"/>
            <w:tcBorders>
              <w:top w:val="single" w:sz="4" w:space="0" w:color="auto"/>
              <w:bottom w:val="single" w:sz="4" w:space="0" w:color="auto"/>
            </w:tcBorders>
            <w:shd w:val="clear" w:color="auto" w:fill="auto"/>
            <w:noWrap/>
            <w:vAlign w:val="bottom"/>
            <w:hideMark/>
          </w:tcPr>
          <w:p w:rsidR="00046D77" w:rsidRPr="00E345FB" w:rsidRDefault="00046D77" w:rsidP="00E345FB">
            <w:pPr>
              <w:suppressAutoHyphens/>
              <w:jc w:val="both"/>
              <w:rPr>
                <w:b/>
                <w:color w:val="000000"/>
                <w:sz w:val="22"/>
                <w:szCs w:val="22"/>
                <w:lang w:val="en-GB"/>
              </w:rPr>
            </w:pPr>
            <w:r w:rsidRPr="00E345FB">
              <w:rPr>
                <w:b/>
                <w:color w:val="000000"/>
                <w:sz w:val="22"/>
                <w:szCs w:val="22"/>
                <w:lang w:val="en-GB"/>
              </w:rPr>
              <w:t>TP</w:t>
            </w:r>
          </w:p>
        </w:tc>
        <w:tc>
          <w:tcPr>
            <w:tcW w:w="629" w:type="pct"/>
            <w:tcBorders>
              <w:top w:val="single" w:sz="4" w:space="0" w:color="auto"/>
              <w:bottom w:val="single" w:sz="4" w:space="0" w:color="auto"/>
            </w:tcBorders>
            <w:shd w:val="clear" w:color="auto" w:fill="auto"/>
            <w:noWrap/>
            <w:vAlign w:val="bottom"/>
            <w:hideMark/>
          </w:tcPr>
          <w:p w:rsidR="00046D77" w:rsidRPr="00E345FB" w:rsidRDefault="00046D77" w:rsidP="00E345FB">
            <w:pPr>
              <w:suppressAutoHyphens/>
              <w:jc w:val="both"/>
              <w:rPr>
                <w:b/>
                <w:color w:val="000000"/>
                <w:sz w:val="22"/>
                <w:szCs w:val="22"/>
                <w:lang w:val="en-GB"/>
              </w:rPr>
            </w:pPr>
            <w:r w:rsidRPr="00E345FB">
              <w:rPr>
                <w:b/>
                <w:color w:val="000000"/>
                <w:sz w:val="22"/>
                <w:szCs w:val="22"/>
                <w:lang w:val="en-GB"/>
              </w:rPr>
              <w:t>NCP</w:t>
            </w:r>
          </w:p>
        </w:tc>
        <w:tc>
          <w:tcPr>
            <w:tcW w:w="629" w:type="pct"/>
            <w:tcBorders>
              <w:top w:val="single" w:sz="4" w:space="0" w:color="auto"/>
              <w:bottom w:val="single" w:sz="4" w:space="0" w:color="auto"/>
            </w:tcBorders>
          </w:tcPr>
          <w:p w:rsidR="00046D77" w:rsidRPr="00E345FB" w:rsidRDefault="00046D77" w:rsidP="00E345FB">
            <w:pPr>
              <w:suppressAutoHyphens/>
              <w:jc w:val="both"/>
              <w:rPr>
                <w:b/>
                <w:color w:val="000000"/>
                <w:sz w:val="22"/>
                <w:szCs w:val="22"/>
                <w:lang w:val="en-GB"/>
              </w:rPr>
            </w:pPr>
            <w:r w:rsidRPr="00E345FB">
              <w:rPr>
                <w:b/>
                <w:color w:val="000000"/>
                <w:sz w:val="22"/>
                <w:szCs w:val="22"/>
                <w:lang w:val="en-GB"/>
              </w:rPr>
              <w:t>TC</w:t>
            </w:r>
          </w:p>
        </w:tc>
        <w:tc>
          <w:tcPr>
            <w:tcW w:w="629" w:type="pct"/>
            <w:tcBorders>
              <w:top w:val="single" w:sz="4" w:space="0" w:color="auto"/>
              <w:bottom w:val="single" w:sz="4" w:space="0" w:color="auto"/>
            </w:tcBorders>
          </w:tcPr>
          <w:p w:rsidR="00046D77" w:rsidRPr="00E345FB" w:rsidRDefault="00046D77" w:rsidP="00E345FB">
            <w:pPr>
              <w:suppressAutoHyphens/>
              <w:jc w:val="both"/>
              <w:rPr>
                <w:b/>
                <w:color w:val="000000"/>
                <w:sz w:val="22"/>
                <w:szCs w:val="22"/>
                <w:lang w:val="en-GB"/>
              </w:rPr>
            </w:pPr>
            <w:r w:rsidRPr="00E345FB">
              <w:rPr>
                <w:b/>
                <w:color w:val="000000"/>
                <w:sz w:val="22"/>
                <w:szCs w:val="22"/>
                <w:lang w:val="en-GB"/>
              </w:rPr>
              <w:t>C/P</w:t>
            </w:r>
          </w:p>
        </w:tc>
        <w:tc>
          <w:tcPr>
            <w:tcW w:w="629" w:type="pct"/>
            <w:tcBorders>
              <w:top w:val="single" w:sz="4" w:space="0" w:color="auto"/>
              <w:bottom w:val="single" w:sz="4" w:space="0" w:color="auto"/>
            </w:tcBorders>
          </w:tcPr>
          <w:p w:rsidR="00046D77" w:rsidRPr="00E345FB" w:rsidRDefault="00046D77" w:rsidP="00E345FB">
            <w:pPr>
              <w:suppressAutoHyphens/>
              <w:jc w:val="both"/>
              <w:rPr>
                <w:b/>
                <w:color w:val="000000"/>
                <w:sz w:val="22"/>
                <w:szCs w:val="22"/>
                <w:lang w:val="en-GB"/>
              </w:rPr>
            </w:pPr>
            <w:r w:rsidRPr="00E345FB">
              <w:rPr>
                <w:b/>
                <w:color w:val="000000"/>
                <w:sz w:val="22"/>
                <w:szCs w:val="22"/>
                <w:lang w:val="en-GB"/>
              </w:rPr>
              <w:t>C/CP</w:t>
            </w:r>
          </w:p>
        </w:tc>
        <w:tc>
          <w:tcPr>
            <w:tcW w:w="629" w:type="pct"/>
            <w:tcBorders>
              <w:top w:val="single" w:sz="4" w:space="0" w:color="auto"/>
              <w:bottom w:val="single" w:sz="4" w:space="0" w:color="auto"/>
            </w:tcBorders>
          </w:tcPr>
          <w:p w:rsidR="00046D77" w:rsidRPr="00E345FB" w:rsidRDefault="00046D77" w:rsidP="00E345FB">
            <w:pPr>
              <w:suppressAutoHyphens/>
              <w:jc w:val="both"/>
              <w:rPr>
                <w:b/>
                <w:i/>
                <w:iCs/>
                <w:color w:val="000000"/>
                <w:sz w:val="22"/>
                <w:szCs w:val="22"/>
                <w:lang w:val="en-GB"/>
              </w:rPr>
            </w:pPr>
            <w:r w:rsidRPr="00E345FB">
              <w:rPr>
                <w:b/>
                <w:i/>
                <w:iCs/>
                <w:color w:val="000000"/>
                <w:sz w:val="22"/>
                <w:szCs w:val="22"/>
                <w:lang w:val="en-GB"/>
              </w:rPr>
              <w:t>h</w:t>
            </w:r>
          </w:p>
        </w:tc>
        <w:tc>
          <w:tcPr>
            <w:tcW w:w="629" w:type="pct"/>
            <w:tcBorders>
              <w:top w:val="single" w:sz="4" w:space="0" w:color="auto"/>
              <w:bottom w:val="single" w:sz="4" w:space="0" w:color="auto"/>
            </w:tcBorders>
          </w:tcPr>
          <w:p w:rsidR="00046D77" w:rsidRPr="00E345FB" w:rsidRDefault="00046D77" w:rsidP="00E345FB">
            <w:pPr>
              <w:suppressAutoHyphens/>
              <w:jc w:val="both"/>
              <w:rPr>
                <w:b/>
                <w:i/>
                <w:iCs/>
                <w:color w:val="000000"/>
                <w:sz w:val="22"/>
                <w:szCs w:val="22"/>
                <w:lang w:val="en-GB"/>
              </w:rPr>
            </w:pPr>
            <w:r w:rsidRPr="00E345FB">
              <w:rPr>
                <w:b/>
                <w:i/>
                <w:iCs/>
                <w:color w:val="000000"/>
                <w:sz w:val="22"/>
                <w:szCs w:val="22"/>
                <w:lang w:val="en-GB"/>
              </w:rPr>
              <w:t>g</w:t>
            </w:r>
          </w:p>
        </w:tc>
      </w:tr>
      <w:tr w:rsidR="00046D77" w:rsidRPr="00E345FB" w:rsidTr="00E345FB">
        <w:trPr>
          <w:jc w:val="center"/>
        </w:trPr>
        <w:tc>
          <w:tcPr>
            <w:tcW w:w="597" w:type="pct"/>
            <w:tcBorders>
              <w:top w:val="single" w:sz="4" w:space="0" w:color="auto"/>
            </w:tcBorders>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2000</w:t>
            </w:r>
          </w:p>
        </w:tc>
        <w:tc>
          <w:tcPr>
            <w:tcW w:w="629" w:type="pct"/>
            <w:tcBorders>
              <w:top w:val="single" w:sz="4" w:space="0" w:color="auto"/>
            </w:tcBorders>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2</w:t>
            </w:r>
          </w:p>
        </w:tc>
        <w:tc>
          <w:tcPr>
            <w:tcW w:w="629" w:type="pct"/>
            <w:tcBorders>
              <w:top w:val="single" w:sz="4" w:space="0" w:color="auto"/>
            </w:tcBorders>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2</w:t>
            </w:r>
          </w:p>
        </w:tc>
        <w:tc>
          <w:tcPr>
            <w:tcW w:w="629" w:type="pct"/>
            <w:tcBorders>
              <w:top w:val="single" w:sz="4" w:space="0" w:color="auto"/>
            </w:tcBorders>
          </w:tcPr>
          <w:p w:rsidR="00046D77" w:rsidRPr="00E345FB" w:rsidRDefault="00046D77" w:rsidP="00E345FB">
            <w:pPr>
              <w:suppressAutoHyphens/>
              <w:jc w:val="both"/>
              <w:rPr>
                <w:color w:val="000000"/>
                <w:sz w:val="22"/>
                <w:szCs w:val="22"/>
                <w:lang w:val="en-GB"/>
              </w:rPr>
            </w:pPr>
            <w:r w:rsidRPr="00E345FB">
              <w:rPr>
                <w:sz w:val="22"/>
                <w:szCs w:val="22"/>
              </w:rPr>
              <w:t>97</w:t>
            </w:r>
          </w:p>
        </w:tc>
        <w:tc>
          <w:tcPr>
            <w:tcW w:w="629" w:type="pct"/>
            <w:tcBorders>
              <w:top w:val="single" w:sz="4" w:space="0" w:color="auto"/>
            </w:tcBorders>
          </w:tcPr>
          <w:p w:rsidR="00046D77" w:rsidRPr="00E345FB" w:rsidRDefault="00046D77" w:rsidP="00E345FB">
            <w:pPr>
              <w:suppressAutoHyphens/>
              <w:jc w:val="both"/>
              <w:rPr>
                <w:color w:val="000000"/>
                <w:sz w:val="22"/>
                <w:szCs w:val="22"/>
                <w:lang w:val="en-GB"/>
              </w:rPr>
            </w:pPr>
            <w:r w:rsidRPr="00E345FB">
              <w:rPr>
                <w:sz w:val="22"/>
                <w:szCs w:val="22"/>
              </w:rPr>
              <w:t>48.50</w:t>
            </w:r>
          </w:p>
        </w:tc>
        <w:tc>
          <w:tcPr>
            <w:tcW w:w="629" w:type="pct"/>
            <w:tcBorders>
              <w:top w:val="single" w:sz="4" w:space="0" w:color="auto"/>
            </w:tcBorders>
          </w:tcPr>
          <w:p w:rsidR="00046D77" w:rsidRPr="00E345FB" w:rsidRDefault="00046D77" w:rsidP="00E345FB">
            <w:pPr>
              <w:suppressAutoHyphens/>
              <w:jc w:val="both"/>
              <w:rPr>
                <w:color w:val="000000"/>
                <w:sz w:val="22"/>
                <w:szCs w:val="22"/>
                <w:lang w:val="en-GB"/>
              </w:rPr>
            </w:pPr>
            <w:r w:rsidRPr="00E345FB">
              <w:rPr>
                <w:sz w:val="22"/>
                <w:szCs w:val="22"/>
              </w:rPr>
              <w:t>48.50</w:t>
            </w:r>
          </w:p>
        </w:tc>
        <w:tc>
          <w:tcPr>
            <w:tcW w:w="629" w:type="pct"/>
            <w:tcBorders>
              <w:top w:val="single" w:sz="4" w:space="0" w:color="auto"/>
            </w:tcBorders>
          </w:tcPr>
          <w:p w:rsidR="00046D77" w:rsidRPr="00E345FB" w:rsidRDefault="00046D77" w:rsidP="00E345FB">
            <w:pPr>
              <w:suppressAutoHyphens/>
              <w:jc w:val="both"/>
              <w:rPr>
                <w:color w:val="000000"/>
                <w:sz w:val="22"/>
                <w:szCs w:val="22"/>
                <w:lang w:val="en-GB"/>
              </w:rPr>
            </w:pPr>
            <w:r w:rsidRPr="00E345FB">
              <w:rPr>
                <w:sz w:val="22"/>
                <w:szCs w:val="22"/>
              </w:rPr>
              <w:t>2</w:t>
            </w:r>
          </w:p>
        </w:tc>
        <w:tc>
          <w:tcPr>
            <w:tcW w:w="629" w:type="pct"/>
            <w:tcBorders>
              <w:top w:val="single" w:sz="4" w:space="0" w:color="auto"/>
            </w:tcBorders>
          </w:tcPr>
          <w:p w:rsidR="00046D77" w:rsidRPr="00E345FB" w:rsidRDefault="00046D77" w:rsidP="00E345FB">
            <w:pPr>
              <w:suppressAutoHyphens/>
              <w:jc w:val="both"/>
              <w:rPr>
                <w:color w:val="000000"/>
                <w:sz w:val="22"/>
                <w:szCs w:val="22"/>
                <w:lang w:val="en-GB"/>
              </w:rPr>
            </w:pPr>
            <w:r w:rsidRPr="00E345FB">
              <w:rPr>
                <w:sz w:val="22"/>
                <w:szCs w:val="22"/>
              </w:rPr>
              <w:t>2</w:t>
            </w:r>
          </w:p>
        </w:tc>
      </w:tr>
      <w:tr w:rsidR="00046D77" w:rsidRPr="00E345FB" w:rsidTr="00E345FB">
        <w:trPr>
          <w:jc w:val="center"/>
        </w:trPr>
        <w:tc>
          <w:tcPr>
            <w:tcW w:w="597"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2001</w:t>
            </w:r>
          </w:p>
        </w:tc>
        <w:tc>
          <w:tcPr>
            <w:tcW w:w="629"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3</w:t>
            </w:r>
          </w:p>
        </w:tc>
        <w:tc>
          <w:tcPr>
            <w:tcW w:w="629"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124</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41.33</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62.00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w:t>
            </w:r>
          </w:p>
        </w:tc>
      </w:tr>
      <w:tr w:rsidR="00046D77" w:rsidRPr="00E345FB" w:rsidTr="00E345FB">
        <w:trPr>
          <w:jc w:val="center"/>
        </w:trPr>
        <w:tc>
          <w:tcPr>
            <w:tcW w:w="597"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2002</w:t>
            </w:r>
          </w:p>
        </w:tc>
        <w:tc>
          <w:tcPr>
            <w:tcW w:w="629"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3</w:t>
            </w:r>
          </w:p>
        </w:tc>
        <w:tc>
          <w:tcPr>
            <w:tcW w:w="629"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3</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24</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8.00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8.00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w:t>
            </w:r>
          </w:p>
        </w:tc>
      </w:tr>
      <w:tr w:rsidR="00046D77" w:rsidRPr="00E345FB" w:rsidTr="00E345FB">
        <w:trPr>
          <w:jc w:val="center"/>
        </w:trPr>
        <w:tc>
          <w:tcPr>
            <w:tcW w:w="597"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2003</w:t>
            </w:r>
          </w:p>
        </w:tc>
        <w:tc>
          <w:tcPr>
            <w:tcW w:w="629"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3</w:t>
            </w:r>
          </w:p>
        </w:tc>
        <w:tc>
          <w:tcPr>
            <w:tcW w:w="629"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78</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26.00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39.00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w:t>
            </w:r>
          </w:p>
        </w:tc>
      </w:tr>
      <w:tr w:rsidR="00046D77" w:rsidRPr="00E345FB" w:rsidTr="00E345FB">
        <w:trPr>
          <w:jc w:val="center"/>
        </w:trPr>
        <w:tc>
          <w:tcPr>
            <w:tcW w:w="597"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2004</w:t>
            </w:r>
          </w:p>
        </w:tc>
        <w:tc>
          <w:tcPr>
            <w:tcW w:w="629"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3</w:t>
            </w:r>
          </w:p>
        </w:tc>
        <w:tc>
          <w:tcPr>
            <w:tcW w:w="629"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3</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144</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48.00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48.00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w:t>
            </w:r>
          </w:p>
        </w:tc>
      </w:tr>
      <w:tr w:rsidR="00046D77" w:rsidRPr="00E345FB" w:rsidTr="00E345FB">
        <w:trPr>
          <w:jc w:val="center"/>
        </w:trPr>
        <w:tc>
          <w:tcPr>
            <w:tcW w:w="597"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2005</w:t>
            </w:r>
          </w:p>
        </w:tc>
        <w:tc>
          <w:tcPr>
            <w:tcW w:w="629"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4</w:t>
            </w:r>
          </w:p>
        </w:tc>
        <w:tc>
          <w:tcPr>
            <w:tcW w:w="629"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2061</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515.25</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1030.50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4</w:t>
            </w:r>
          </w:p>
        </w:tc>
      </w:tr>
      <w:tr w:rsidR="00046D77" w:rsidRPr="00E345FB" w:rsidTr="00E345FB">
        <w:trPr>
          <w:jc w:val="center"/>
        </w:trPr>
        <w:tc>
          <w:tcPr>
            <w:tcW w:w="597"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lastRenderedPageBreak/>
              <w:t>2006</w:t>
            </w:r>
          </w:p>
        </w:tc>
        <w:tc>
          <w:tcPr>
            <w:tcW w:w="629"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9</w:t>
            </w:r>
          </w:p>
        </w:tc>
        <w:tc>
          <w:tcPr>
            <w:tcW w:w="629"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5</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476</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52.89</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95.20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9</w:t>
            </w:r>
          </w:p>
        </w:tc>
      </w:tr>
      <w:tr w:rsidR="00046D77" w:rsidRPr="00E345FB" w:rsidTr="00E345FB">
        <w:trPr>
          <w:jc w:val="center"/>
        </w:trPr>
        <w:tc>
          <w:tcPr>
            <w:tcW w:w="597"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2007</w:t>
            </w:r>
          </w:p>
        </w:tc>
        <w:tc>
          <w:tcPr>
            <w:tcW w:w="629"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5</w:t>
            </w:r>
          </w:p>
        </w:tc>
        <w:tc>
          <w:tcPr>
            <w:tcW w:w="629"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343</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68.60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171.50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5</w:t>
            </w:r>
          </w:p>
        </w:tc>
      </w:tr>
      <w:tr w:rsidR="00046D77" w:rsidRPr="00E345FB" w:rsidTr="00E345FB">
        <w:trPr>
          <w:jc w:val="center"/>
        </w:trPr>
        <w:tc>
          <w:tcPr>
            <w:tcW w:w="597"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2008</w:t>
            </w:r>
          </w:p>
        </w:tc>
        <w:tc>
          <w:tcPr>
            <w:tcW w:w="629" w:type="pct"/>
            <w:shd w:val="clear" w:color="auto" w:fill="auto"/>
            <w:noWrap/>
            <w:hideMark/>
          </w:tcPr>
          <w:p w:rsidR="00046D77" w:rsidRPr="00E345FB" w:rsidRDefault="00046D77" w:rsidP="00E345FB">
            <w:pPr>
              <w:suppressAutoHyphens/>
              <w:jc w:val="both"/>
              <w:rPr>
                <w:color w:val="000000"/>
                <w:sz w:val="22"/>
                <w:szCs w:val="22"/>
                <w:lang w:val="en-GB"/>
              </w:rPr>
            </w:pPr>
            <w:r w:rsidRPr="00E345FB">
              <w:rPr>
                <w:sz w:val="22"/>
                <w:szCs w:val="22"/>
              </w:rPr>
              <w:t>12</w:t>
            </w:r>
          </w:p>
        </w:tc>
        <w:tc>
          <w:tcPr>
            <w:tcW w:w="629"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9</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2018</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168.17</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224.22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5</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12</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2009</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23</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13</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152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6.61</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11.69</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5</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12</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2010</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27</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18</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472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17.48</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26.22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9</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21</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2011</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48</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34</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1316</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27.42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38.71</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14</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36</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color w:val="000000"/>
                <w:sz w:val="22"/>
                <w:szCs w:val="22"/>
                <w:lang w:val="en-GB"/>
              </w:rPr>
            </w:pPr>
            <w:r w:rsidRPr="00E345FB">
              <w:rPr>
                <w:sz w:val="22"/>
                <w:szCs w:val="22"/>
              </w:rPr>
              <w:t>2012</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62</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50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1408</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22.71</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28.16</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16</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37</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sz w:val="22"/>
                <w:szCs w:val="22"/>
              </w:rPr>
            </w:pPr>
            <w:r w:rsidRPr="00E345FB">
              <w:rPr>
                <w:sz w:val="22"/>
                <w:szCs w:val="22"/>
              </w:rPr>
              <w:t>2013</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54</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48</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1114</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20.63</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23.21</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16</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32</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sz w:val="22"/>
                <w:szCs w:val="22"/>
              </w:rPr>
            </w:pPr>
            <w:r w:rsidRPr="00E345FB">
              <w:rPr>
                <w:sz w:val="22"/>
                <w:szCs w:val="22"/>
              </w:rPr>
              <w:t>2014</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84</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64</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1004</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11.95</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15.69</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17</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30</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sz w:val="22"/>
                <w:szCs w:val="22"/>
              </w:rPr>
            </w:pPr>
            <w:r w:rsidRPr="00E345FB">
              <w:rPr>
                <w:sz w:val="22"/>
                <w:szCs w:val="22"/>
              </w:rPr>
              <w:t>2015</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98</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88</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1816</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18.53</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20.64</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40</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sz w:val="22"/>
                <w:szCs w:val="22"/>
              </w:rPr>
            </w:pPr>
            <w:r w:rsidRPr="00E345FB">
              <w:rPr>
                <w:sz w:val="22"/>
                <w:szCs w:val="22"/>
              </w:rPr>
              <w:t>2016</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177</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130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2009</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11.35</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15.45</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41</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sz w:val="22"/>
                <w:szCs w:val="22"/>
              </w:rPr>
            </w:pPr>
            <w:r w:rsidRPr="00E345FB">
              <w:rPr>
                <w:sz w:val="22"/>
                <w:szCs w:val="22"/>
              </w:rPr>
              <w:t>2017</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174</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130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1200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6.90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9.23</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17</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27</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sz w:val="22"/>
                <w:szCs w:val="22"/>
              </w:rPr>
            </w:pPr>
            <w:r w:rsidRPr="00E345FB">
              <w:rPr>
                <w:sz w:val="22"/>
                <w:szCs w:val="22"/>
              </w:rPr>
              <w:t>2018</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227</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161</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1348</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5.94</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8.37</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17</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29</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sz w:val="22"/>
                <w:szCs w:val="22"/>
              </w:rPr>
            </w:pPr>
            <w:r w:rsidRPr="00E345FB">
              <w:rPr>
                <w:sz w:val="22"/>
                <w:szCs w:val="22"/>
              </w:rPr>
              <w:t>2019</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258</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172</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1050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4.07</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6.10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15</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23</w:t>
            </w:r>
          </w:p>
        </w:tc>
      </w:tr>
      <w:tr w:rsidR="00046D77" w:rsidRPr="00E345FB" w:rsidTr="00E345FB">
        <w:trPr>
          <w:jc w:val="center"/>
        </w:trPr>
        <w:tc>
          <w:tcPr>
            <w:tcW w:w="597" w:type="pct"/>
            <w:shd w:val="clear" w:color="auto" w:fill="auto"/>
            <w:noWrap/>
          </w:tcPr>
          <w:p w:rsidR="00046D77" w:rsidRPr="00E345FB" w:rsidRDefault="00046D77" w:rsidP="00E345FB">
            <w:pPr>
              <w:suppressAutoHyphens/>
              <w:jc w:val="both"/>
              <w:rPr>
                <w:sz w:val="22"/>
                <w:szCs w:val="22"/>
              </w:rPr>
            </w:pPr>
            <w:r w:rsidRPr="00E345FB">
              <w:rPr>
                <w:sz w:val="22"/>
                <w:szCs w:val="22"/>
              </w:rPr>
              <w:t>2020</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297</w:t>
            </w:r>
          </w:p>
        </w:tc>
        <w:tc>
          <w:tcPr>
            <w:tcW w:w="629" w:type="pct"/>
            <w:shd w:val="clear" w:color="auto" w:fill="auto"/>
            <w:noWrap/>
          </w:tcPr>
          <w:p w:rsidR="00046D77" w:rsidRPr="00E345FB" w:rsidRDefault="00046D77" w:rsidP="00E345FB">
            <w:pPr>
              <w:suppressAutoHyphens/>
              <w:jc w:val="both"/>
              <w:rPr>
                <w:sz w:val="22"/>
                <w:szCs w:val="22"/>
              </w:rPr>
            </w:pPr>
            <w:r w:rsidRPr="00E345FB">
              <w:rPr>
                <w:sz w:val="22"/>
                <w:szCs w:val="22"/>
              </w:rPr>
              <w:t>169</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860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2.90</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5.09</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14</w:t>
            </w:r>
          </w:p>
        </w:tc>
        <w:tc>
          <w:tcPr>
            <w:tcW w:w="629" w:type="pct"/>
          </w:tcPr>
          <w:p w:rsidR="00046D77" w:rsidRPr="00E345FB" w:rsidRDefault="00046D77" w:rsidP="00E345FB">
            <w:pPr>
              <w:suppressAutoHyphens/>
              <w:jc w:val="both"/>
              <w:rPr>
                <w:color w:val="000000"/>
                <w:sz w:val="22"/>
                <w:szCs w:val="22"/>
                <w:lang w:val="en-GB"/>
              </w:rPr>
            </w:pPr>
            <w:r w:rsidRPr="00E345FB">
              <w:rPr>
                <w:sz w:val="22"/>
                <w:szCs w:val="22"/>
              </w:rPr>
              <w:t>20</w:t>
            </w:r>
          </w:p>
        </w:tc>
      </w:tr>
      <w:tr w:rsidR="00046D77" w:rsidRPr="00E345FB" w:rsidTr="00E345FB">
        <w:trPr>
          <w:jc w:val="center"/>
        </w:trPr>
        <w:tc>
          <w:tcPr>
            <w:tcW w:w="597" w:type="pct"/>
            <w:tcBorders>
              <w:bottom w:val="single" w:sz="4" w:space="0" w:color="auto"/>
            </w:tcBorders>
            <w:shd w:val="clear" w:color="auto" w:fill="auto"/>
            <w:noWrap/>
          </w:tcPr>
          <w:p w:rsidR="00046D77" w:rsidRPr="00E345FB" w:rsidRDefault="00046D77" w:rsidP="00E345FB">
            <w:pPr>
              <w:suppressAutoHyphens/>
              <w:jc w:val="both"/>
              <w:rPr>
                <w:sz w:val="22"/>
                <w:szCs w:val="22"/>
              </w:rPr>
            </w:pPr>
            <w:r w:rsidRPr="00E345FB">
              <w:rPr>
                <w:sz w:val="22"/>
                <w:szCs w:val="22"/>
              </w:rPr>
              <w:t>2021</w:t>
            </w:r>
          </w:p>
        </w:tc>
        <w:tc>
          <w:tcPr>
            <w:tcW w:w="629" w:type="pct"/>
            <w:tcBorders>
              <w:bottom w:val="single" w:sz="4" w:space="0" w:color="auto"/>
            </w:tcBorders>
            <w:shd w:val="clear" w:color="auto" w:fill="auto"/>
            <w:noWrap/>
          </w:tcPr>
          <w:p w:rsidR="00046D77" w:rsidRPr="00E345FB" w:rsidRDefault="00046D77" w:rsidP="00E345FB">
            <w:pPr>
              <w:suppressAutoHyphens/>
              <w:jc w:val="both"/>
              <w:rPr>
                <w:sz w:val="22"/>
                <w:szCs w:val="22"/>
              </w:rPr>
            </w:pPr>
            <w:r w:rsidRPr="00E345FB">
              <w:rPr>
                <w:sz w:val="22"/>
                <w:szCs w:val="22"/>
              </w:rPr>
              <w:t>302</w:t>
            </w:r>
          </w:p>
        </w:tc>
        <w:tc>
          <w:tcPr>
            <w:tcW w:w="629" w:type="pct"/>
            <w:tcBorders>
              <w:bottom w:val="single" w:sz="4" w:space="0" w:color="auto"/>
            </w:tcBorders>
            <w:shd w:val="clear" w:color="auto" w:fill="auto"/>
            <w:noWrap/>
          </w:tcPr>
          <w:p w:rsidR="00046D77" w:rsidRPr="00E345FB" w:rsidRDefault="00046D77" w:rsidP="00E345FB">
            <w:pPr>
              <w:suppressAutoHyphens/>
              <w:jc w:val="both"/>
              <w:rPr>
                <w:sz w:val="22"/>
                <w:szCs w:val="22"/>
              </w:rPr>
            </w:pPr>
            <w:r w:rsidRPr="00E345FB">
              <w:rPr>
                <w:sz w:val="22"/>
                <w:szCs w:val="22"/>
              </w:rPr>
              <w:t>100</w:t>
            </w:r>
          </w:p>
        </w:tc>
        <w:tc>
          <w:tcPr>
            <w:tcW w:w="629" w:type="pct"/>
            <w:tcBorders>
              <w:bottom w:val="single" w:sz="4" w:space="0" w:color="auto"/>
            </w:tcBorders>
          </w:tcPr>
          <w:p w:rsidR="00046D77" w:rsidRPr="00E345FB" w:rsidRDefault="00046D77" w:rsidP="00E345FB">
            <w:pPr>
              <w:suppressAutoHyphens/>
              <w:jc w:val="both"/>
              <w:rPr>
                <w:color w:val="000000"/>
                <w:sz w:val="22"/>
                <w:szCs w:val="22"/>
                <w:lang w:val="en-GB"/>
              </w:rPr>
            </w:pPr>
            <w:r w:rsidRPr="00E345FB">
              <w:rPr>
                <w:sz w:val="22"/>
                <w:szCs w:val="22"/>
              </w:rPr>
              <w:t>270</w:t>
            </w:r>
          </w:p>
        </w:tc>
        <w:tc>
          <w:tcPr>
            <w:tcW w:w="629" w:type="pct"/>
            <w:tcBorders>
              <w:bottom w:val="single" w:sz="4" w:space="0" w:color="auto"/>
            </w:tcBorders>
          </w:tcPr>
          <w:p w:rsidR="00046D77" w:rsidRPr="00E345FB" w:rsidRDefault="00046D77" w:rsidP="00E345FB">
            <w:pPr>
              <w:suppressAutoHyphens/>
              <w:jc w:val="both"/>
              <w:rPr>
                <w:color w:val="000000"/>
                <w:sz w:val="22"/>
                <w:szCs w:val="22"/>
                <w:lang w:val="en-GB"/>
              </w:rPr>
            </w:pPr>
            <w:r w:rsidRPr="00E345FB">
              <w:rPr>
                <w:sz w:val="22"/>
                <w:szCs w:val="22"/>
              </w:rPr>
              <w:t>0.89</w:t>
            </w:r>
          </w:p>
        </w:tc>
        <w:tc>
          <w:tcPr>
            <w:tcW w:w="629" w:type="pct"/>
            <w:tcBorders>
              <w:bottom w:val="single" w:sz="4" w:space="0" w:color="auto"/>
            </w:tcBorders>
          </w:tcPr>
          <w:p w:rsidR="00046D77" w:rsidRPr="00E345FB" w:rsidRDefault="00046D77" w:rsidP="00E345FB">
            <w:pPr>
              <w:suppressAutoHyphens/>
              <w:jc w:val="both"/>
              <w:rPr>
                <w:color w:val="000000"/>
                <w:sz w:val="22"/>
                <w:szCs w:val="22"/>
                <w:lang w:val="en-GB"/>
              </w:rPr>
            </w:pPr>
            <w:r w:rsidRPr="00E345FB">
              <w:rPr>
                <w:sz w:val="22"/>
                <w:szCs w:val="22"/>
              </w:rPr>
              <w:t>2.70</w:t>
            </w:r>
          </w:p>
        </w:tc>
        <w:tc>
          <w:tcPr>
            <w:tcW w:w="629" w:type="pct"/>
            <w:tcBorders>
              <w:bottom w:val="single" w:sz="4" w:space="0" w:color="auto"/>
            </w:tcBorders>
          </w:tcPr>
          <w:p w:rsidR="00046D77" w:rsidRPr="00E345FB" w:rsidRDefault="00046D77" w:rsidP="00E345FB">
            <w:pPr>
              <w:suppressAutoHyphens/>
              <w:jc w:val="both"/>
              <w:rPr>
                <w:color w:val="000000"/>
                <w:sz w:val="22"/>
                <w:szCs w:val="22"/>
                <w:lang w:val="en-GB"/>
              </w:rPr>
            </w:pPr>
            <w:r w:rsidRPr="00E345FB">
              <w:rPr>
                <w:sz w:val="22"/>
                <w:szCs w:val="22"/>
              </w:rPr>
              <w:t>7</w:t>
            </w:r>
          </w:p>
        </w:tc>
        <w:tc>
          <w:tcPr>
            <w:tcW w:w="629" w:type="pct"/>
            <w:tcBorders>
              <w:bottom w:val="single" w:sz="4" w:space="0" w:color="auto"/>
            </w:tcBorders>
          </w:tcPr>
          <w:p w:rsidR="00046D77" w:rsidRPr="00E345FB" w:rsidRDefault="00046D77" w:rsidP="00E345FB">
            <w:pPr>
              <w:suppressAutoHyphens/>
              <w:jc w:val="both"/>
              <w:rPr>
                <w:color w:val="000000"/>
                <w:sz w:val="22"/>
                <w:szCs w:val="22"/>
                <w:lang w:val="en-GB"/>
              </w:rPr>
            </w:pPr>
            <w:r w:rsidRPr="00E345FB">
              <w:rPr>
                <w:sz w:val="22"/>
                <w:szCs w:val="22"/>
              </w:rPr>
              <w:t>11</w:t>
            </w:r>
          </w:p>
        </w:tc>
      </w:tr>
    </w:tbl>
    <w:bookmarkEnd w:id="3"/>
    <w:p w:rsidR="000E32C7" w:rsidRPr="00E345FB" w:rsidRDefault="00046D77" w:rsidP="00E345FB">
      <w:pPr>
        <w:pStyle w:val="SAP-Paragraph"/>
        <w:suppressAutoHyphens/>
        <w:spacing w:line="240" w:lineRule="auto"/>
        <w:ind w:firstLineChars="0" w:firstLine="0"/>
        <w:rPr>
          <w:sz w:val="22"/>
          <w:szCs w:val="22"/>
          <w:lang w:val="en-GB"/>
        </w:rPr>
      </w:pPr>
      <w:r w:rsidRPr="00E345FB">
        <w:rPr>
          <w:sz w:val="22"/>
          <w:szCs w:val="22"/>
          <w:lang w:val="en-GB"/>
        </w:rPr>
        <w:t>Notes: TP=total number of publications; NCP=number of cited publications; TC=total citations; C/P=average citations per publication; C/CP=average citations per cited publication; h=h-index; and g=g-index.</w:t>
      </w:r>
    </w:p>
    <w:p w:rsidR="0077458B" w:rsidRPr="00E345FB" w:rsidRDefault="0077458B" w:rsidP="00E345FB">
      <w:pPr>
        <w:pStyle w:val="SAP-Paragraph"/>
        <w:suppressAutoHyphens/>
        <w:spacing w:line="240" w:lineRule="auto"/>
        <w:ind w:firstLineChars="0" w:firstLine="0"/>
        <w:rPr>
          <w:sz w:val="22"/>
          <w:szCs w:val="22"/>
          <w:lang w:val="en-GB"/>
        </w:rPr>
      </w:pPr>
    </w:p>
    <w:p w:rsidR="00947AD3" w:rsidRDefault="00947AD3" w:rsidP="00E345FB">
      <w:pPr>
        <w:pStyle w:val="SAP-Paragraph"/>
        <w:suppressAutoHyphens/>
        <w:spacing w:line="240" w:lineRule="auto"/>
        <w:ind w:firstLineChars="0" w:firstLine="0"/>
        <w:rPr>
          <w:sz w:val="22"/>
          <w:szCs w:val="22"/>
          <w:lang w:val="en-GB"/>
        </w:rPr>
        <w:sectPr w:rsidR="00947AD3" w:rsidSect="000479B9">
          <w:type w:val="continuous"/>
          <w:pgSz w:w="11907" w:h="16840" w:code="9"/>
          <w:pgMar w:top="1440" w:right="1440" w:bottom="1440" w:left="1440" w:header="709" w:footer="709" w:gutter="0"/>
          <w:cols w:space="284"/>
          <w:titlePg/>
          <w:docGrid w:linePitch="360"/>
        </w:sectPr>
      </w:pPr>
    </w:p>
    <w:p w:rsidR="0077458B" w:rsidRPr="00E345FB" w:rsidRDefault="0077458B" w:rsidP="00E345FB">
      <w:pPr>
        <w:pStyle w:val="SAP-Paragraph"/>
        <w:suppressAutoHyphens/>
        <w:spacing w:line="240" w:lineRule="auto"/>
        <w:ind w:firstLineChars="0" w:firstLine="0"/>
        <w:rPr>
          <w:sz w:val="22"/>
          <w:szCs w:val="22"/>
          <w:lang w:val="en-GB"/>
        </w:rPr>
      </w:pPr>
    </w:p>
    <w:p w:rsidR="00DB5E45" w:rsidRPr="00E345FB" w:rsidRDefault="00DB5E45" w:rsidP="00E345FB">
      <w:pPr>
        <w:pStyle w:val="SAP-Paragraph"/>
        <w:suppressAutoHyphens/>
        <w:spacing w:line="240" w:lineRule="auto"/>
        <w:ind w:firstLineChars="0" w:firstLine="0"/>
        <w:rPr>
          <w:b/>
          <w:bCs/>
          <w:i/>
          <w:iCs/>
          <w:sz w:val="22"/>
          <w:szCs w:val="22"/>
          <w:lang w:val="en-GB"/>
        </w:rPr>
      </w:pPr>
      <w:r w:rsidRPr="00E345FB">
        <w:rPr>
          <w:b/>
          <w:bCs/>
          <w:i/>
          <w:iCs/>
          <w:sz w:val="22"/>
          <w:szCs w:val="22"/>
          <w:lang w:val="en-GB"/>
        </w:rPr>
        <w:t>The Most Prolificand Co-authorship Authors Network</w:t>
      </w:r>
    </w:p>
    <w:p w:rsidR="00DB5E45" w:rsidRPr="00E345FB" w:rsidRDefault="007E71CC" w:rsidP="00E345FB">
      <w:pPr>
        <w:pStyle w:val="SAP-Paragraph"/>
        <w:suppressAutoHyphens/>
        <w:spacing w:line="240" w:lineRule="auto"/>
        <w:ind w:firstLineChars="0" w:firstLine="0"/>
        <w:rPr>
          <w:sz w:val="22"/>
          <w:szCs w:val="22"/>
          <w:lang w:val="en-GB"/>
        </w:rPr>
      </w:pPr>
      <w:r w:rsidRPr="00E345FB">
        <w:rPr>
          <w:sz w:val="22"/>
          <w:szCs w:val="22"/>
          <w:lang w:val="en-GB"/>
        </w:rPr>
        <w:t xml:space="preserve">A total of 1875 articles were published within the scope of the design thinking study from 2000 to 2021 from 85 countries </w:t>
      </w:r>
      <w:r w:rsidR="00497C52" w:rsidRPr="00E345FB">
        <w:rPr>
          <w:sz w:val="22"/>
          <w:szCs w:val="22"/>
          <w:lang w:val="en-GB"/>
        </w:rPr>
        <w:t>worldwide</w:t>
      </w:r>
      <w:r w:rsidRPr="00E345FB">
        <w:rPr>
          <w:sz w:val="22"/>
          <w:szCs w:val="22"/>
          <w:lang w:val="en-GB"/>
        </w:rPr>
        <w:t xml:space="preserve">. The average number of authors per article was 2.79, indicating a trend toward the contributions of multiple authors to this research domain. Authors from many countries have published publications on design thinking. Table 3 lists the 16 most productive authors over the research period. The most productive author with the highest number </w:t>
      </w:r>
      <w:r w:rsidRPr="00E345FB">
        <w:rPr>
          <w:sz w:val="22"/>
          <w:szCs w:val="22"/>
          <w:lang w:val="en-GB"/>
        </w:rPr>
        <w:lastRenderedPageBreak/>
        <w:t xml:space="preserve">of publications was Meinel, C. (25 publications; 351 citations), while Leifer, L. (16 publications; 146 citations) ranked second and Uebernickel, F. (13 publications; 184 citations) in third place of 16 most prolific authors in the study of design thinking. Nevertheless, Liedtka, J., even with 9 publications, has made an impact in design thinking research because it has the highest number of </w:t>
      </w:r>
      <w:r w:rsidR="00D026A9" w:rsidRPr="00E345FB">
        <w:rPr>
          <w:sz w:val="22"/>
          <w:szCs w:val="22"/>
          <w:lang w:val="en-GB"/>
        </w:rPr>
        <w:t xml:space="preserve">total </w:t>
      </w:r>
      <w:r w:rsidRPr="00E345FB">
        <w:rPr>
          <w:sz w:val="22"/>
          <w:szCs w:val="22"/>
          <w:lang w:val="en-GB"/>
        </w:rPr>
        <w:t>citations which is 490 citations. Researchers Liedka, J and Leifer, L were from the United States, while the first and third highest number of publication authors were from Germany.</w:t>
      </w:r>
    </w:p>
    <w:p w:rsidR="00947AD3" w:rsidRDefault="00947AD3" w:rsidP="00E345FB">
      <w:pPr>
        <w:pStyle w:val="SAP-Paragraph"/>
        <w:suppressAutoHyphens/>
        <w:spacing w:line="240" w:lineRule="auto"/>
        <w:ind w:firstLineChars="0" w:firstLine="0"/>
        <w:rPr>
          <w:sz w:val="22"/>
          <w:szCs w:val="22"/>
          <w:lang w:val="en-GB"/>
        </w:rPr>
        <w:sectPr w:rsidR="00947AD3" w:rsidSect="00947AD3">
          <w:type w:val="continuous"/>
          <w:pgSz w:w="11907" w:h="16840" w:code="9"/>
          <w:pgMar w:top="1440" w:right="1440" w:bottom="1440" w:left="1440" w:header="709" w:footer="709" w:gutter="0"/>
          <w:cols w:num="2" w:space="284"/>
          <w:titlePg/>
          <w:docGrid w:linePitch="360"/>
        </w:sectPr>
      </w:pPr>
    </w:p>
    <w:p w:rsidR="0077458B" w:rsidRPr="00E345FB" w:rsidRDefault="0077458B" w:rsidP="00E345FB">
      <w:pPr>
        <w:pStyle w:val="SAP-Paragraph"/>
        <w:suppressAutoHyphens/>
        <w:spacing w:line="240" w:lineRule="auto"/>
        <w:ind w:firstLineChars="0" w:firstLine="0"/>
        <w:rPr>
          <w:sz w:val="22"/>
          <w:szCs w:val="22"/>
          <w:lang w:val="en-GB"/>
        </w:rPr>
      </w:pPr>
    </w:p>
    <w:p w:rsidR="0077458B" w:rsidRPr="00E345FB" w:rsidRDefault="0077458B" w:rsidP="00E345FB">
      <w:pPr>
        <w:pStyle w:val="SAP-Paragraph"/>
        <w:suppressAutoHyphens/>
        <w:spacing w:line="240" w:lineRule="auto"/>
        <w:ind w:firstLineChars="0" w:firstLine="0"/>
        <w:jc w:val="center"/>
        <w:rPr>
          <w:sz w:val="22"/>
          <w:szCs w:val="22"/>
          <w:lang w:val="en-GB"/>
        </w:rPr>
      </w:pPr>
      <w:r w:rsidRPr="00E345FB">
        <w:rPr>
          <w:b/>
          <w:bCs/>
          <w:sz w:val="22"/>
          <w:szCs w:val="22"/>
          <w:lang w:val="en-GB"/>
        </w:rPr>
        <w:t>Table 3.</w:t>
      </w:r>
      <w:r w:rsidR="000F0D47" w:rsidRPr="00E345FB">
        <w:rPr>
          <w:sz w:val="22"/>
          <w:szCs w:val="22"/>
          <w:lang w:val="en-GB"/>
        </w:rPr>
        <w:t xml:space="preserve">Most prolific authors for design thinking </w:t>
      </w:r>
      <w:r w:rsidRPr="00E345FB">
        <w:rPr>
          <w:sz w:val="22"/>
          <w:szCs w:val="22"/>
          <w:lang w:val="en-GB"/>
        </w:rPr>
        <w:t>between 2000-2021</w:t>
      </w:r>
      <w:r w:rsidR="00D026A9" w:rsidRPr="00E345FB">
        <w:rPr>
          <w:sz w:val="22"/>
          <w:szCs w:val="22"/>
          <w:lang w:val="en-GB"/>
        </w:rPr>
        <w:t>.</w:t>
      </w:r>
    </w:p>
    <w:tbl>
      <w:tblPr>
        <w:tblpPr w:leftFromText="180" w:rightFromText="180" w:vertAnchor="text" w:horzAnchor="margin" w:tblpY="88"/>
        <w:tblW w:w="5494" w:type="pct"/>
        <w:tblLayout w:type="fixed"/>
        <w:tblLook w:val="01E0"/>
      </w:tblPr>
      <w:tblGrid>
        <w:gridCol w:w="1593"/>
        <w:gridCol w:w="3196"/>
        <w:gridCol w:w="1682"/>
        <w:gridCol w:w="1263"/>
        <w:gridCol w:w="1538"/>
        <w:gridCol w:w="884"/>
      </w:tblGrid>
      <w:tr w:rsidR="00FB48E9" w:rsidRPr="00E345FB" w:rsidTr="00FB48E9">
        <w:tc>
          <w:tcPr>
            <w:tcW w:w="784" w:type="pct"/>
            <w:tcBorders>
              <w:top w:val="single" w:sz="4" w:space="0" w:color="auto"/>
              <w:bottom w:val="single" w:sz="4" w:space="0" w:color="auto"/>
            </w:tcBorders>
            <w:shd w:val="clear" w:color="auto" w:fill="auto"/>
            <w:vAlign w:val="center"/>
          </w:tcPr>
          <w:p w:rsidR="00FB48E9" w:rsidRPr="00E345FB" w:rsidRDefault="00FB48E9" w:rsidP="00E345FB">
            <w:pPr>
              <w:suppressAutoHyphens/>
              <w:jc w:val="both"/>
              <w:rPr>
                <w:b/>
                <w:color w:val="000000"/>
                <w:sz w:val="22"/>
                <w:szCs w:val="22"/>
                <w:lang w:val="en-GB" w:eastAsia="en-US"/>
              </w:rPr>
            </w:pPr>
            <w:r w:rsidRPr="00E345FB">
              <w:rPr>
                <w:b/>
                <w:color w:val="000000"/>
                <w:sz w:val="22"/>
                <w:szCs w:val="22"/>
                <w:lang w:val="en-GB"/>
              </w:rPr>
              <w:t>Author’s Name</w:t>
            </w:r>
          </w:p>
        </w:tc>
        <w:tc>
          <w:tcPr>
            <w:tcW w:w="1573" w:type="pct"/>
            <w:tcBorders>
              <w:top w:val="single" w:sz="4" w:space="0" w:color="auto"/>
              <w:bottom w:val="single" w:sz="4" w:space="0" w:color="auto"/>
            </w:tcBorders>
            <w:vAlign w:val="center"/>
          </w:tcPr>
          <w:p w:rsidR="00FB48E9" w:rsidRPr="00E345FB" w:rsidRDefault="00FB48E9" w:rsidP="00E345FB">
            <w:pPr>
              <w:suppressAutoHyphens/>
              <w:jc w:val="both"/>
              <w:rPr>
                <w:b/>
                <w:sz w:val="22"/>
                <w:szCs w:val="22"/>
                <w:lang w:val="en-GB"/>
              </w:rPr>
            </w:pPr>
            <w:r w:rsidRPr="00E345FB">
              <w:rPr>
                <w:b/>
                <w:sz w:val="22"/>
                <w:szCs w:val="22"/>
                <w:lang w:val="en-GB"/>
              </w:rPr>
              <w:t>Affiliation</w:t>
            </w:r>
          </w:p>
        </w:tc>
        <w:tc>
          <w:tcPr>
            <w:tcW w:w="828" w:type="pct"/>
            <w:tcBorders>
              <w:top w:val="single" w:sz="4" w:space="0" w:color="auto"/>
              <w:bottom w:val="single" w:sz="4" w:space="0" w:color="auto"/>
            </w:tcBorders>
            <w:shd w:val="clear" w:color="auto" w:fill="auto"/>
            <w:vAlign w:val="center"/>
          </w:tcPr>
          <w:p w:rsidR="00FB48E9" w:rsidRPr="00E345FB" w:rsidRDefault="00FB48E9" w:rsidP="00E345FB">
            <w:pPr>
              <w:suppressAutoHyphens/>
              <w:jc w:val="both"/>
              <w:rPr>
                <w:b/>
                <w:color w:val="000000"/>
                <w:sz w:val="22"/>
                <w:szCs w:val="22"/>
                <w:lang w:val="en-GB"/>
              </w:rPr>
            </w:pPr>
            <w:r w:rsidRPr="00E345FB">
              <w:rPr>
                <w:b/>
                <w:sz w:val="22"/>
                <w:szCs w:val="22"/>
                <w:lang w:val="en-GB"/>
              </w:rPr>
              <w:t>Country</w:t>
            </w:r>
          </w:p>
        </w:tc>
        <w:tc>
          <w:tcPr>
            <w:tcW w:w="622" w:type="pct"/>
            <w:tcBorders>
              <w:top w:val="single" w:sz="4" w:space="0" w:color="auto"/>
              <w:bottom w:val="single" w:sz="4" w:space="0" w:color="auto"/>
            </w:tcBorders>
            <w:vAlign w:val="center"/>
          </w:tcPr>
          <w:p w:rsidR="00FB48E9" w:rsidRPr="00E345FB" w:rsidRDefault="00FB48E9" w:rsidP="00E345FB">
            <w:pPr>
              <w:suppressAutoHyphens/>
              <w:jc w:val="both"/>
              <w:rPr>
                <w:b/>
                <w:sz w:val="22"/>
                <w:szCs w:val="22"/>
                <w:lang w:val="en-GB"/>
              </w:rPr>
            </w:pPr>
            <w:r w:rsidRPr="00E345FB">
              <w:rPr>
                <w:b/>
                <w:sz w:val="22"/>
                <w:szCs w:val="22"/>
                <w:lang w:val="en-GB"/>
              </w:rPr>
              <w:t>Total number of publications</w:t>
            </w:r>
          </w:p>
        </w:tc>
        <w:tc>
          <w:tcPr>
            <w:tcW w:w="757" w:type="pct"/>
            <w:tcBorders>
              <w:top w:val="single" w:sz="4" w:space="0" w:color="auto"/>
              <w:bottom w:val="single" w:sz="4" w:space="0" w:color="auto"/>
            </w:tcBorders>
            <w:vAlign w:val="center"/>
          </w:tcPr>
          <w:p w:rsidR="00FB48E9" w:rsidRPr="00E345FB" w:rsidRDefault="00FB48E9" w:rsidP="00E345FB">
            <w:pPr>
              <w:suppressAutoHyphens/>
              <w:jc w:val="both"/>
              <w:rPr>
                <w:b/>
                <w:sz w:val="22"/>
                <w:szCs w:val="22"/>
                <w:lang w:val="en-GB"/>
              </w:rPr>
            </w:pPr>
            <w:r w:rsidRPr="00E345FB">
              <w:rPr>
                <w:b/>
                <w:sz w:val="22"/>
                <w:szCs w:val="22"/>
                <w:lang w:val="en-GB"/>
              </w:rPr>
              <w:t>Total Link Strength</w:t>
            </w:r>
          </w:p>
        </w:tc>
        <w:tc>
          <w:tcPr>
            <w:tcW w:w="435" w:type="pct"/>
            <w:tcBorders>
              <w:top w:val="single" w:sz="4" w:space="0" w:color="auto"/>
              <w:bottom w:val="single" w:sz="4" w:space="0" w:color="auto"/>
            </w:tcBorders>
          </w:tcPr>
          <w:p w:rsidR="00FB48E9" w:rsidRPr="00E345FB" w:rsidRDefault="00FB48E9" w:rsidP="00E345FB">
            <w:pPr>
              <w:suppressAutoHyphens/>
              <w:jc w:val="both"/>
              <w:rPr>
                <w:b/>
                <w:sz w:val="22"/>
                <w:szCs w:val="22"/>
                <w:lang w:val="en-GB"/>
              </w:rPr>
            </w:pPr>
            <w:r w:rsidRPr="00E345FB">
              <w:rPr>
                <w:b/>
                <w:sz w:val="22"/>
                <w:szCs w:val="22"/>
                <w:lang w:val="en-GB"/>
              </w:rPr>
              <w:t xml:space="preserve">Total </w:t>
            </w:r>
          </w:p>
          <w:p w:rsidR="00FB48E9" w:rsidRPr="00E345FB" w:rsidRDefault="00FB48E9" w:rsidP="00E345FB">
            <w:pPr>
              <w:suppressAutoHyphens/>
              <w:jc w:val="both"/>
              <w:rPr>
                <w:b/>
                <w:sz w:val="22"/>
                <w:szCs w:val="22"/>
                <w:lang w:val="en-GB"/>
              </w:rPr>
            </w:pPr>
            <w:r w:rsidRPr="00E345FB">
              <w:rPr>
                <w:b/>
                <w:sz w:val="22"/>
                <w:szCs w:val="22"/>
                <w:lang w:val="en-GB"/>
              </w:rPr>
              <w:t>Citation</w:t>
            </w:r>
          </w:p>
        </w:tc>
      </w:tr>
      <w:tr w:rsidR="00FB48E9" w:rsidRPr="00E345FB" w:rsidTr="00FB48E9">
        <w:tc>
          <w:tcPr>
            <w:tcW w:w="784" w:type="pct"/>
            <w:tcBorders>
              <w:top w:val="single" w:sz="4" w:space="0" w:color="auto"/>
            </w:tcBorders>
            <w:shd w:val="clear" w:color="auto" w:fill="auto"/>
          </w:tcPr>
          <w:p w:rsidR="00FB48E9" w:rsidRPr="00E345FB" w:rsidRDefault="00FB48E9" w:rsidP="00E345FB">
            <w:pPr>
              <w:suppressAutoHyphens/>
              <w:jc w:val="both"/>
              <w:rPr>
                <w:color w:val="000000"/>
                <w:sz w:val="22"/>
                <w:szCs w:val="22"/>
                <w:lang w:val="en-GB"/>
              </w:rPr>
            </w:pPr>
            <w:bookmarkStart w:id="4" w:name="_Hlk99122003"/>
            <w:bookmarkStart w:id="5" w:name="_Hlk99120127"/>
            <w:r w:rsidRPr="00E345FB">
              <w:rPr>
                <w:sz w:val="22"/>
                <w:szCs w:val="22"/>
              </w:rPr>
              <w:t>Meinel, C.</w:t>
            </w:r>
          </w:p>
        </w:tc>
        <w:tc>
          <w:tcPr>
            <w:tcW w:w="1573" w:type="pct"/>
            <w:tcBorders>
              <w:top w:val="single" w:sz="4" w:space="0" w:color="auto"/>
            </w:tcBorders>
          </w:tcPr>
          <w:p w:rsidR="00FB48E9" w:rsidRPr="00E345FB" w:rsidRDefault="00FB48E9" w:rsidP="00E345FB">
            <w:pPr>
              <w:suppressAutoHyphens/>
              <w:jc w:val="both"/>
              <w:rPr>
                <w:sz w:val="22"/>
                <w:szCs w:val="22"/>
                <w:lang w:val="en-GB"/>
              </w:rPr>
            </w:pPr>
            <w:r w:rsidRPr="00E345FB">
              <w:rPr>
                <w:sz w:val="22"/>
                <w:szCs w:val="22"/>
              </w:rPr>
              <w:t xml:space="preserve">Hasso-Plattner-Institut für Software </w:t>
            </w:r>
          </w:p>
        </w:tc>
        <w:tc>
          <w:tcPr>
            <w:tcW w:w="828" w:type="pct"/>
            <w:tcBorders>
              <w:top w:val="single" w:sz="4" w:space="0" w:color="auto"/>
            </w:tcBorders>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Germany</w:t>
            </w:r>
          </w:p>
        </w:tc>
        <w:tc>
          <w:tcPr>
            <w:tcW w:w="622" w:type="pct"/>
            <w:tcBorders>
              <w:top w:val="single" w:sz="4" w:space="0" w:color="auto"/>
            </w:tcBorders>
          </w:tcPr>
          <w:p w:rsidR="00FB48E9" w:rsidRPr="00E345FB" w:rsidRDefault="00FB48E9" w:rsidP="00E345FB">
            <w:pPr>
              <w:suppressAutoHyphens/>
              <w:jc w:val="both"/>
              <w:rPr>
                <w:sz w:val="22"/>
                <w:szCs w:val="22"/>
                <w:lang w:val="en-GB"/>
              </w:rPr>
            </w:pPr>
            <w:r w:rsidRPr="00E345FB">
              <w:rPr>
                <w:sz w:val="22"/>
                <w:szCs w:val="22"/>
              </w:rPr>
              <w:t>25</w:t>
            </w:r>
          </w:p>
        </w:tc>
        <w:tc>
          <w:tcPr>
            <w:tcW w:w="757" w:type="pct"/>
            <w:tcBorders>
              <w:top w:val="single" w:sz="4" w:space="0" w:color="auto"/>
            </w:tcBorders>
          </w:tcPr>
          <w:p w:rsidR="00FB48E9" w:rsidRPr="00E345FB" w:rsidRDefault="00FB48E9" w:rsidP="00E345FB">
            <w:pPr>
              <w:suppressAutoHyphens/>
              <w:jc w:val="both"/>
              <w:rPr>
                <w:sz w:val="22"/>
                <w:szCs w:val="22"/>
                <w:lang w:val="en-GB"/>
              </w:rPr>
            </w:pPr>
            <w:r w:rsidRPr="00E345FB">
              <w:rPr>
                <w:sz w:val="22"/>
                <w:szCs w:val="22"/>
              </w:rPr>
              <w:t>50</w:t>
            </w:r>
          </w:p>
        </w:tc>
        <w:tc>
          <w:tcPr>
            <w:tcW w:w="435" w:type="pct"/>
            <w:tcBorders>
              <w:top w:val="single" w:sz="4" w:space="0" w:color="auto"/>
            </w:tcBorders>
          </w:tcPr>
          <w:p w:rsidR="00FB48E9" w:rsidRPr="00E345FB" w:rsidRDefault="00FB48E9" w:rsidP="00E345FB">
            <w:pPr>
              <w:suppressAutoHyphens/>
              <w:jc w:val="both"/>
              <w:rPr>
                <w:sz w:val="22"/>
                <w:szCs w:val="22"/>
              </w:rPr>
            </w:pPr>
            <w:r w:rsidRPr="00E345FB">
              <w:rPr>
                <w:sz w:val="22"/>
                <w:szCs w:val="22"/>
              </w:rPr>
              <w:t>351</w:t>
            </w:r>
          </w:p>
        </w:tc>
      </w:tr>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bookmarkStart w:id="6" w:name="_Hlk99122023"/>
            <w:bookmarkEnd w:id="4"/>
            <w:r w:rsidRPr="00E345FB">
              <w:rPr>
                <w:sz w:val="22"/>
                <w:szCs w:val="22"/>
              </w:rPr>
              <w:t>Leifer, L.</w:t>
            </w:r>
            <w:bookmarkEnd w:id="6"/>
          </w:p>
        </w:tc>
        <w:tc>
          <w:tcPr>
            <w:tcW w:w="1573" w:type="pct"/>
          </w:tcPr>
          <w:p w:rsidR="00FB48E9" w:rsidRPr="00E345FB" w:rsidRDefault="00FB48E9" w:rsidP="00E345FB">
            <w:pPr>
              <w:suppressAutoHyphens/>
              <w:jc w:val="both"/>
              <w:rPr>
                <w:sz w:val="22"/>
                <w:szCs w:val="22"/>
                <w:lang w:val="en-GB"/>
              </w:rPr>
            </w:pPr>
            <w:r w:rsidRPr="00E345FB">
              <w:rPr>
                <w:sz w:val="22"/>
                <w:szCs w:val="22"/>
              </w:rPr>
              <w:t>Stanford University</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United States</w:t>
            </w:r>
          </w:p>
        </w:tc>
        <w:tc>
          <w:tcPr>
            <w:tcW w:w="622" w:type="pct"/>
          </w:tcPr>
          <w:p w:rsidR="00FB48E9" w:rsidRPr="00E345FB" w:rsidRDefault="00FB48E9" w:rsidP="00E345FB">
            <w:pPr>
              <w:suppressAutoHyphens/>
              <w:jc w:val="both"/>
              <w:rPr>
                <w:sz w:val="22"/>
                <w:szCs w:val="22"/>
                <w:lang w:val="en-GB"/>
              </w:rPr>
            </w:pPr>
            <w:r w:rsidRPr="00E345FB">
              <w:rPr>
                <w:sz w:val="22"/>
                <w:szCs w:val="22"/>
              </w:rPr>
              <w:t>16</w:t>
            </w:r>
          </w:p>
        </w:tc>
        <w:tc>
          <w:tcPr>
            <w:tcW w:w="757" w:type="pct"/>
          </w:tcPr>
          <w:p w:rsidR="00FB48E9" w:rsidRPr="00E345FB" w:rsidRDefault="00FB48E9" w:rsidP="00E345FB">
            <w:pPr>
              <w:suppressAutoHyphens/>
              <w:jc w:val="both"/>
              <w:rPr>
                <w:sz w:val="22"/>
                <w:szCs w:val="22"/>
                <w:lang w:val="en-GB"/>
              </w:rPr>
            </w:pPr>
            <w:r w:rsidRPr="00E345FB">
              <w:rPr>
                <w:sz w:val="22"/>
                <w:szCs w:val="22"/>
              </w:rPr>
              <w:t>39</w:t>
            </w:r>
          </w:p>
        </w:tc>
        <w:tc>
          <w:tcPr>
            <w:tcW w:w="435" w:type="pct"/>
          </w:tcPr>
          <w:p w:rsidR="00FB48E9" w:rsidRPr="00E345FB" w:rsidRDefault="00FB48E9" w:rsidP="00E345FB">
            <w:pPr>
              <w:suppressAutoHyphens/>
              <w:jc w:val="both"/>
              <w:rPr>
                <w:sz w:val="22"/>
                <w:szCs w:val="22"/>
              </w:rPr>
            </w:pPr>
            <w:r w:rsidRPr="00E345FB">
              <w:rPr>
                <w:sz w:val="22"/>
                <w:szCs w:val="22"/>
              </w:rPr>
              <w:t>146</w:t>
            </w:r>
          </w:p>
        </w:tc>
      </w:tr>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bookmarkStart w:id="7" w:name="_Hlk99122066"/>
            <w:r w:rsidRPr="00E345FB">
              <w:rPr>
                <w:sz w:val="22"/>
                <w:szCs w:val="22"/>
              </w:rPr>
              <w:t>Uebernickel, F.</w:t>
            </w:r>
            <w:bookmarkEnd w:id="7"/>
          </w:p>
        </w:tc>
        <w:tc>
          <w:tcPr>
            <w:tcW w:w="1573" w:type="pct"/>
          </w:tcPr>
          <w:p w:rsidR="00FB48E9" w:rsidRPr="00E345FB" w:rsidRDefault="00FB48E9" w:rsidP="00E345FB">
            <w:pPr>
              <w:suppressAutoHyphens/>
              <w:jc w:val="both"/>
              <w:rPr>
                <w:sz w:val="22"/>
                <w:szCs w:val="22"/>
                <w:lang w:val="en-GB"/>
              </w:rPr>
            </w:pPr>
            <w:r w:rsidRPr="00E345FB">
              <w:rPr>
                <w:sz w:val="22"/>
                <w:szCs w:val="22"/>
              </w:rPr>
              <w:t xml:space="preserve">Hasso-Plattner-Institut für Software </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Germany</w:t>
            </w:r>
          </w:p>
        </w:tc>
        <w:tc>
          <w:tcPr>
            <w:tcW w:w="622" w:type="pct"/>
          </w:tcPr>
          <w:p w:rsidR="00FB48E9" w:rsidRPr="00E345FB" w:rsidRDefault="00FB48E9" w:rsidP="00E345FB">
            <w:pPr>
              <w:suppressAutoHyphens/>
              <w:jc w:val="both"/>
              <w:rPr>
                <w:sz w:val="22"/>
                <w:szCs w:val="22"/>
                <w:lang w:val="en-GB"/>
              </w:rPr>
            </w:pPr>
            <w:r w:rsidRPr="00E345FB">
              <w:rPr>
                <w:sz w:val="22"/>
                <w:szCs w:val="22"/>
              </w:rPr>
              <w:t>13</w:t>
            </w:r>
          </w:p>
        </w:tc>
        <w:tc>
          <w:tcPr>
            <w:tcW w:w="757" w:type="pct"/>
          </w:tcPr>
          <w:p w:rsidR="00FB48E9" w:rsidRPr="00E345FB" w:rsidRDefault="00FB48E9" w:rsidP="00E345FB">
            <w:pPr>
              <w:suppressAutoHyphens/>
              <w:jc w:val="both"/>
              <w:rPr>
                <w:sz w:val="22"/>
                <w:szCs w:val="22"/>
                <w:lang w:val="en-GB"/>
              </w:rPr>
            </w:pPr>
            <w:r w:rsidRPr="00E345FB">
              <w:rPr>
                <w:sz w:val="22"/>
                <w:szCs w:val="22"/>
              </w:rPr>
              <w:t>34</w:t>
            </w:r>
          </w:p>
        </w:tc>
        <w:tc>
          <w:tcPr>
            <w:tcW w:w="435" w:type="pct"/>
          </w:tcPr>
          <w:p w:rsidR="00FB48E9" w:rsidRPr="00E345FB" w:rsidRDefault="00FB48E9" w:rsidP="00E345FB">
            <w:pPr>
              <w:suppressAutoHyphens/>
              <w:jc w:val="both"/>
              <w:rPr>
                <w:sz w:val="22"/>
                <w:szCs w:val="22"/>
              </w:rPr>
            </w:pPr>
            <w:r w:rsidRPr="00E345FB">
              <w:rPr>
                <w:sz w:val="22"/>
                <w:szCs w:val="22"/>
              </w:rPr>
              <w:t>184</w:t>
            </w:r>
          </w:p>
        </w:tc>
      </w:tr>
      <w:bookmarkEnd w:id="5"/>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Conte, T.</w:t>
            </w:r>
          </w:p>
        </w:tc>
        <w:tc>
          <w:tcPr>
            <w:tcW w:w="1573" w:type="pct"/>
          </w:tcPr>
          <w:p w:rsidR="00FB48E9" w:rsidRPr="00E345FB" w:rsidRDefault="00FB48E9" w:rsidP="00E345FB">
            <w:pPr>
              <w:suppressAutoHyphens/>
              <w:jc w:val="both"/>
              <w:rPr>
                <w:sz w:val="22"/>
                <w:szCs w:val="22"/>
                <w:lang w:val="en-GB"/>
              </w:rPr>
            </w:pPr>
            <w:r w:rsidRPr="00E345FB">
              <w:rPr>
                <w:sz w:val="22"/>
                <w:szCs w:val="22"/>
              </w:rPr>
              <w:t>Universidade Federal do Amazonas</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Brazil</w:t>
            </w:r>
          </w:p>
        </w:tc>
        <w:tc>
          <w:tcPr>
            <w:tcW w:w="622" w:type="pct"/>
          </w:tcPr>
          <w:p w:rsidR="00FB48E9" w:rsidRPr="00E345FB" w:rsidRDefault="00FB48E9" w:rsidP="00E345FB">
            <w:pPr>
              <w:suppressAutoHyphens/>
              <w:jc w:val="both"/>
              <w:rPr>
                <w:sz w:val="22"/>
                <w:szCs w:val="22"/>
                <w:lang w:val="en-GB"/>
              </w:rPr>
            </w:pPr>
            <w:r w:rsidRPr="00E345FB">
              <w:rPr>
                <w:sz w:val="22"/>
                <w:szCs w:val="22"/>
              </w:rPr>
              <w:t>10</w:t>
            </w:r>
          </w:p>
        </w:tc>
        <w:tc>
          <w:tcPr>
            <w:tcW w:w="757" w:type="pct"/>
          </w:tcPr>
          <w:p w:rsidR="00FB48E9" w:rsidRPr="00E345FB" w:rsidRDefault="00FB48E9" w:rsidP="00E345FB">
            <w:pPr>
              <w:suppressAutoHyphens/>
              <w:jc w:val="both"/>
              <w:rPr>
                <w:sz w:val="22"/>
                <w:szCs w:val="22"/>
                <w:lang w:val="en-GB"/>
              </w:rPr>
            </w:pPr>
            <w:r w:rsidRPr="00E345FB">
              <w:rPr>
                <w:sz w:val="22"/>
                <w:szCs w:val="22"/>
              </w:rPr>
              <w:t>22</w:t>
            </w:r>
          </w:p>
        </w:tc>
        <w:tc>
          <w:tcPr>
            <w:tcW w:w="435" w:type="pct"/>
          </w:tcPr>
          <w:p w:rsidR="00FB48E9" w:rsidRPr="00E345FB" w:rsidRDefault="00FB48E9" w:rsidP="00E345FB">
            <w:pPr>
              <w:suppressAutoHyphens/>
              <w:jc w:val="both"/>
              <w:rPr>
                <w:sz w:val="22"/>
                <w:szCs w:val="22"/>
              </w:rPr>
            </w:pPr>
            <w:r w:rsidRPr="00E345FB">
              <w:rPr>
                <w:sz w:val="22"/>
                <w:szCs w:val="22"/>
              </w:rPr>
              <w:t>43</w:t>
            </w:r>
          </w:p>
        </w:tc>
      </w:tr>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Dobrigkeit, F.</w:t>
            </w:r>
          </w:p>
        </w:tc>
        <w:tc>
          <w:tcPr>
            <w:tcW w:w="1573" w:type="pct"/>
          </w:tcPr>
          <w:p w:rsidR="00FB48E9" w:rsidRPr="00E345FB" w:rsidRDefault="00FB48E9" w:rsidP="00E345FB">
            <w:pPr>
              <w:suppressAutoHyphens/>
              <w:jc w:val="both"/>
              <w:rPr>
                <w:sz w:val="22"/>
                <w:szCs w:val="22"/>
                <w:lang w:val="en-GB"/>
              </w:rPr>
            </w:pPr>
            <w:r w:rsidRPr="00E345FB">
              <w:rPr>
                <w:sz w:val="22"/>
                <w:szCs w:val="22"/>
              </w:rPr>
              <w:t xml:space="preserve">Hasso-Plattner-Institut für Software </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Germany</w:t>
            </w:r>
          </w:p>
        </w:tc>
        <w:tc>
          <w:tcPr>
            <w:tcW w:w="622" w:type="pct"/>
          </w:tcPr>
          <w:p w:rsidR="00FB48E9" w:rsidRPr="00E345FB" w:rsidRDefault="00FB48E9" w:rsidP="00E345FB">
            <w:pPr>
              <w:suppressAutoHyphens/>
              <w:jc w:val="both"/>
              <w:rPr>
                <w:sz w:val="22"/>
                <w:szCs w:val="22"/>
                <w:lang w:val="en-GB"/>
              </w:rPr>
            </w:pPr>
            <w:r w:rsidRPr="00E345FB">
              <w:rPr>
                <w:sz w:val="22"/>
                <w:szCs w:val="22"/>
              </w:rPr>
              <w:t>9</w:t>
            </w:r>
          </w:p>
        </w:tc>
        <w:tc>
          <w:tcPr>
            <w:tcW w:w="757" w:type="pct"/>
          </w:tcPr>
          <w:p w:rsidR="00FB48E9" w:rsidRPr="00E345FB" w:rsidRDefault="00FB48E9" w:rsidP="00E345FB">
            <w:pPr>
              <w:suppressAutoHyphens/>
              <w:jc w:val="both"/>
              <w:rPr>
                <w:sz w:val="22"/>
                <w:szCs w:val="22"/>
                <w:lang w:val="en-GB"/>
              </w:rPr>
            </w:pPr>
            <w:r w:rsidRPr="00E345FB">
              <w:rPr>
                <w:sz w:val="22"/>
                <w:szCs w:val="22"/>
              </w:rPr>
              <w:t>13</w:t>
            </w:r>
          </w:p>
        </w:tc>
        <w:tc>
          <w:tcPr>
            <w:tcW w:w="435" w:type="pct"/>
          </w:tcPr>
          <w:p w:rsidR="00FB48E9" w:rsidRPr="00E345FB" w:rsidRDefault="00FB48E9" w:rsidP="00E345FB">
            <w:pPr>
              <w:suppressAutoHyphens/>
              <w:jc w:val="both"/>
              <w:rPr>
                <w:sz w:val="22"/>
                <w:szCs w:val="22"/>
              </w:rPr>
            </w:pPr>
            <w:r w:rsidRPr="00E345FB">
              <w:rPr>
                <w:sz w:val="22"/>
                <w:szCs w:val="22"/>
              </w:rPr>
              <w:t>30</w:t>
            </w:r>
          </w:p>
        </w:tc>
      </w:tr>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Goldman, S.</w:t>
            </w:r>
          </w:p>
        </w:tc>
        <w:tc>
          <w:tcPr>
            <w:tcW w:w="1573" w:type="pct"/>
          </w:tcPr>
          <w:p w:rsidR="00FB48E9" w:rsidRPr="00E345FB" w:rsidRDefault="00FB48E9" w:rsidP="00E345FB">
            <w:pPr>
              <w:suppressAutoHyphens/>
              <w:jc w:val="both"/>
              <w:rPr>
                <w:sz w:val="22"/>
                <w:szCs w:val="22"/>
                <w:lang w:val="en-GB"/>
              </w:rPr>
            </w:pPr>
            <w:r w:rsidRPr="00E345FB">
              <w:rPr>
                <w:sz w:val="22"/>
                <w:szCs w:val="22"/>
              </w:rPr>
              <w:t>Stanford Graduate School of Education</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United States</w:t>
            </w:r>
          </w:p>
        </w:tc>
        <w:tc>
          <w:tcPr>
            <w:tcW w:w="622" w:type="pct"/>
          </w:tcPr>
          <w:p w:rsidR="00FB48E9" w:rsidRPr="00E345FB" w:rsidRDefault="00FB48E9" w:rsidP="00E345FB">
            <w:pPr>
              <w:suppressAutoHyphens/>
              <w:jc w:val="both"/>
              <w:rPr>
                <w:sz w:val="22"/>
                <w:szCs w:val="22"/>
                <w:lang w:val="en-GB"/>
              </w:rPr>
            </w:pPr>
            <w:r w:rsidRPr="00E345FB">
              <w:rPr>
                <w:sz w:val="22"/>
                <w:szCs w:val="22"/>
              </w:rPr>
              <w:t>9</w:t>
            </w:r>
          </w:p>
        </w:tc>
        <w:tc>
          <w:tcPr>
            <w:tcW w:w="757" w:type="pct"/>
          </w:tcPr>
          <w:p w:rsidR="00FB48E9" w:rsidRPr="00E345FB" w:rsidRDefault="00FB48E9" w:rsidP="00E345FB">
            <w:pPr>
              <w:suppressAutoHyphens/>
              <w:jc w:val="both"/>
              <w:rPr>
                <w:sz w:val="22"/>
                <w:szCs w:val="22"/>
                <w:lang w:val="en-GB"/>
              </w:rPr>
            </w:pPr>
            <w:r w:rsidRPr="00E345FB">
              <w:rPr>
                <w:sz w:val="22"/>
                <w:szCs w:val="22"/>
              </w:rPr>
              <w:t>16</w:t>
            </w:r>
          </w:p>
        </w:tc>
        <w:tc>
          <w:tcPr>
            <w:tcW w:w="435" w:type="pct"/>
          </w:tcPr>
          <w:p w:rsidR="00FB48E9" w:rsidRPr="00E345FB" w:rsidRDefault="00FB48E9" w:rsidP="00E345FB">
            <w:pPr>
              <w:suppressAutoHyphens/>
              <w:jc w:val="both"/>
              <w:rPr>
                <w:sz w:val="22"/>
                <w:szCs w:val="22"/>
              </w:rPr>
            </w:pPr>
            <w:r w:rsidRPr="00E345FB">
              <w:rPr>
                <w:sz w:val="22"/>
                <w:szCs w:val="22"/>
              </w:rPr>
              <w:t>184</w:t>
            </w:r>
          </w:p>
        </w:tc>
      </w:tr>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bookmarkStart w:id="8" w:name="_Hlk99122227"/>
            <w:bookmarkStart w:id="9" w:name="_Hlk99122420"/>
            <w:r w:rsidRPr="00E345FB">
              <w:rPr>
                <w:sz w:val="22"/>
                <w:szCs w:val="22"/>
              </w:rPr>
              <w:t>Liedtka, J.</w:t>
            </w:r>
            <w:bookmarkEnd w:id="8"/>
          </w:p>
        </w:tc>
        <w:tc>
          <w:tcPr>
            <w:tcW w:w="1573" w:type="pct"/>
          </w:tcPr>
          <w:p w:rsidR="00FB48E9" w:rsidRPr="00E345FB" w:rsidRDefault="00FB48E9" w:rsidP="00E345FB">
            <w:pPr>
              <w:suppressAutoHyphens/>
              <w:jc w:val="both"/>
              <w:rPr>
                <w:sz w:val="22"/>
                <w:szCs w:val="22"/>
                <w:lang w:val="en-GB"/>
              </w:rPr>
            </w:pPr>
            <w:r w:rsidRPr="00E345FB">
              <w:rPr>
                <w:sz w:val="22"/>
                <w:szCs w:val="22"/>
              </w:rPr>
              <w:t>Darden School of Business</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United States</w:t>
            </w:r>
          </w:p>
        </w:tc>
        <w:tc>
          <w:tcPr>
            <w:tcW w:w="622" w:type="pct"/>
          </w:tcPr>
          <w:p w:rsidR="00FB48E9" w:rsidRPr="00E345FB" w:rsidRDefault="00FB48E9" w:rsidP="00E345FB">
            <w:pPr>
              <w:suppressAutoHyphens/>
              <w:jc w:val="both"/>
              <w:rPr>
                <w:sz w:val="22"/>
                <w:szCs w:val="22"/>
                <w:lang w:val="en-GB"/>
              </w:rPr>
            </w:pPr>
            <w:r w:rsidRPr="00E345FB">
              <w:rPr>
                <w:sz w:val="22"/>
                <w:szCs w:val="22"/>
              </w:rPr>
              <w:t>9</w:t>
            </w:r>
          </w:p>
        </w:tc>
        <w:tc>
          <w:tcPr>
            <w:tcW w:w="757" w:type="pct"/>
          </w:tcPr>
          <w:p w:rsidR="00FB48E9" w:rsidRPr="00E345FB" w:rsidRDefault="00FB48E9" w:rsidP="00E345FB">
            <w:pPr>
              <w:suppressAutoHyphens/>
              <w:jc w:val="both"/>
              <w:rPr>
                <w:sz w:val="22"/>
                <w:szCs w:val="22"/>
                <w:lang w:val="en-GB"/>
              </w:rPr>
            </w:pPr>
            <w:r w:rsidRPr="00E345FB">
              <w:rPr>
                <w:sz w:val="22"/>
                <w:szCs w:val="22"/>
              </w:rPr>
              <w:t>8</w:t>
            </w:r>
          </w:p>
        </w:tc>
        <w:tc>
          <w:tcPr>
            <w:tcW w:w="435" w:type="pct"/>
          </w:tcPr>
          <w:p w:rsidR="00FB48E9" w:rsidRPr="00E345FB" w:rsidRDefault="00FB48E9" w:rsidP="00E345FB">
            <w:pPr>
              <w:suppressAutoHyphens/>
              <w:jc w:val="both"/>
              <w:rPr>
                <w:sz w:val="22"/>
                <w:szCs w:val="22"/>
              </w:rPr>
            </w:pPr>
            <w:r w:rsidRPr="00E345FB">
              <w:rPr>
                <w:sz w:val="22"/>
                <w:szCs w:val="22"/>
              </w:rPr>
              <w:t>490</w:t>
            </w:r>
          </w:p>
        </w:tc>
      </w:tr>
      <w:bookmarkEnd w:id="9"/>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Mentzer, N.</w:t>
            </w:r>
          </w:p>
        </w:tc>
        <w:tc>
          <w:tcPr>
            <w:tcW w:w="1573" w:type="pct"/>
          </w:tcPr>
          <w:p w:rsidR="00FB48E9" w:rsidRPr="00E345FB" w:rsidRDefault="00FB48E9" w:rsidP="00E345FB">
            <w:pPr>
              <w:suppressAutoHyphens/>
              <w:jc w:val="both"/>
              <w:rPr>
                <w:sz w:val="22"/>
                <w:szCs w:val="22"/>
                <w:lang w:val="en-GB"/>
              </w:rPr>
            </w:pPr>
            <w:r w:rsidRPr="00E345FB">
              <w:rPr>
                <w:sz w:val="22"/>
                <w:szCs w:val="22"/>
              </w:rPr>
              <w:t>Purdue Polytechnic Institute</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United States</w:t>
            </w:r>
          </w:p>
        </w:tc>
        <w:tc>
          <w:tcPr>
            <w:tcW w:w="622" w:type="pct"/>
          </w:tcPr>
          <w:p w:rsidR="00FB48E9" w:rsidRPr="00E345FB" w:rsidRDefault="00FB48E9" w:rsidP="00E345FB">
            <w:pPr>
              <w:suppressAutoHyphens/>
              <w:jc w:val="both"/>
              <w:rPr>
                <w:sz w:val="22"/>
                <w:szCs w:val="22"/>
                <w:lang w:val="en-GB"/>
              </w:rPr>
            </w:pPr>
            <w:r w:rsidRPr="00E345FB">
              <w:rPr>
                <w:sz w:val="22"/>
                <w:szCs w:val="22"/>
              </w:rPr>
              <w:t>9</w:t>
            </w:r>
          </w:p>
        </w:tc>
        <w:tc>
          <w:tcPr>
            <w:tcW w:w="757" w:type="pct"/>
          </w:tcPr>
          <w:p w:rsidR="00FB48E9" w:rsidRPr="00E345FB" w:rsidRDefault="00FB48E9" w:rsidP="00E345FB">
            <w:pPr>
              <w:suppressAutoHyphens/>
              <w:jc w:val="both"/>
              <w:rPr>
                <w:sz w:val="22"/>
                <w:szCs w:val="22"/>
                <w:lang w:val="en-GB"/>
              </w:rPr>
            </w:pPr>
            <w:r w:rsidRPr="00E345FB">
              <w:rPr>
                <w:sz w:val="22"/>
                <w:szCs w:val="22"/>
              </w:rPr>
              <w:t>4</w:t>
            </w:r>
          </w:p>
        </w:tc>
        <w:tc>
          <w:tcPr>
            <w:tcW w:w="435" w:type="pct"/>
          </w:tcPr>
          <w:p w:rsidR="00FB48E9" w:rsidRPr="00E345FB" w:rsidRDefault="00FB48E9" w:rsidP="00E345FB">
            <w:pPr>
              <w:suppressAutoHyphens/>
              <w:jc w:val="both"/>
              <w:rPr>
                <w:sz w:val="22"/>
                <w:szCs w:val="22"/>
              </w:rPr>
            </w:pPr>
            <w:r w:rsidRPr="00E345FB">
              <w:rPr>
                <w:sz w:val="22"/>
                <w:szCs w:val="22"/>
              </w:rPr>
              <w:t>95</w:t>
            </w:r>
          </w:p>
        </w:tc>
      </w:tr>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Royalty, A.</w:t>
            </w:r>
          </w:p>
        </w:tc>
        <w:tc>
          <w:tcPr>
            <w:tcW w:w="1573" w:type="pct"/>
          </w:tcPr>
          <w:p w:rsidR="00FB48E9" w:rsidRPr="00E345FB" w:rsidRDefault="00FB48E9" w:rsidP="00E345FB">
            <w:pPr>
              <w:suppressAutoHyphens/>
              <w:jc w:val="both"/>
              <w:rPr>
                <w:sz w:val="22"/>
                <w:szCs w:val="22"/>
                <w:lang w:val="en-GB"/>
              </w:rPr>
            </w:pPr>
            <w:r w:rsidRPr="00E345FB">
              <w:rPr>
                <w:sz w:val="22"/>
                <w:szCs w:val="22"/>
              </w:rPr>
              <w:t>Stanford University</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United States</w:t>
            </w:r>
          </w:p>
        </w:tc>
        <w:tc>
          <w:tcPr>
            <w:tcW w:w="622" w:type="pct"/>
          </w:tcPr>
          <w:p w:rsidR="00FB48E9" w:rsidRPr="00E345FB" w:rsidRDefault="00FB48E9" w:rsidP="00E345FB">
            <w:pPr>
              <w:suppressAutoHyphens/>
              <w:jc w:val="both"/>
              <w:rPr>
                <w:sz w:val="22"/>
                <w:szCs w:val="22"/>
                <w:lang w:val="en-GB"/>
              </w:rPr>
            </w:pPr>
            <w:r w:rsidRPr="00E345FB">
              <w:rPr>
                <w:sz w:val="22"/>
                <w:szCs w:val="22"/>
              </w:rPr>
              <w:t>8</w:t>
            </w:r>
          </w:p>
        </w:tc>
        <w:tc>
          <w:tcPr>
            <w:tcW w:w="757" w:type="pct"/>
          </w:tcPr>
          <w:p w:rsidR="00FB48E9" w:rsidRPr="00E345FB" w:rsidRDefault="00FB48E9" w:rsidP="00E345FB">
            <w:pPr>
              <w:suppressAutoHyphens/>
              <w:jc w:val="both"/>
              <w:rPr>
                <w:sz w:val="22"/>
                <w:szCs w:val="22"/>
                <w:lang w:val="en-GB"/>
              </w:rPr>
            </w:pPr>
            <w:r w:rsidRPr="00E345FB">
              <w:rPr>
                <w:sz w:val="22"/>
                <w:szCs w:val="22"/>
              </w:rPr>
              <w:t>22</w:t>
            </w:r>
          </w:p>
        </w:tc>
        <w:tc>
          <w:tcPr>
            <w:tcW w:w="435" w:type="pct"/>
          </w:tcPr>
          <w:p w:rsidR="00FB48E9" w:rsidRPr="00E345FB" w:rsidRDefault="00FB48E9" w:rsidP="00E345FB">
            <w:pPr>
              <w:suppressAutoHyphens/>
              <w:jc w:val="both"/>
              <w:rPr>
                <w:sz w:val="22"/>
                <w:szCs w:val="22"/>
              </w:rPr>
            </w:pPr>
            <w:r w:rsidRPr="00E345FB">
              <w:rPr>
                <w:sz w:val="22"/>
                <w:szCs w:val="22"/>
              </w:rPr>
              <w:t>236</w:t>
            </w:r>
          </w:p>
        </w:tc>
      </w:tr>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Brenner, W.</w:t>
            </w:r>
          </w:p>
        </w:tc>
        <w:tc>
          <w:tcPr>
            <w:tcW w:w="1573" w:type="pct"/>
          </w:tcPr>
          <w:p w:rsidR="00FB48E9" w:rsidRPr="00E345FB" w:rsidRDefault="00FB48E9" w:rsidP="00E345FB">
            <w:pPr>
              <w:suppressAutoHyphens/>
              <w:jc w:val="both"/>
              <w:rPr>
                <w:sz w:val="22"/>
                <w:szCs w:val="22"/>
                <w:lang w:val="en-GB"/>
              </w:rPr>
            </w:pPr>
            <w:r w:rsidRPr="00E345FB">
              <w:rPr>
                <w:sz w:val="22"/>
                <w:szCs w:val="22"/>
              </w:rPr>
              <w:t>University of St. Gallen</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Switzerland</w:t>
            </w:r>
          </w:p>
        </w:tc>
        <w:tc>
          <w:tcPr>
            <w:tcW w:w="622" w:type="pct"/>
          </w:tcPr>
          <w:p w:rsidR="00FB48E9" w:rsidRPr="00E345FB" w:rsidRDefault="00FB48E9" w:rsidP="00E345FB">
            <w:pPr>
              <w:suppressAutoHyphens/>
              <w:jc w:val="both"/>
              <w:rPr>
                <w:sz w:val="22"/>
                <w:szCs w:val="22"/>
                <w:lang w:val="en-GB"/>
              </w:rPr>
            </w:pPr>
            <w:r w:rsidRPr="00E345FB">
              <w:rPr>
                <w:sz w:val="22"/>
                <w:szCs w:val="22"/>
              </w:rPr>
              <w:t>7</w:t>
            </w:r>
          </w:p>
        </w:tc>
        <w:tc>
          <w:tcPr>
            <w:tcW w:w="757" w:type="pct"/>
          </w:tcPr>
          <w:p w:rsidR="00FB48E9" w:rsidRPr="00E345FB" w:rsidRDefault="00FB48E9" w:rsidP="00E345FB">
            <w:pPr>
              <w:suppressAutoHyphens/>
              <w:jc w:val="both"/>
              <w:rPr>
                <w:sz w:val="22"/>
                <w:szCs w:val="22"/>
                <w:lang w:val="en-GB"/>
              </w:rPr>
            </w:pPr>
            <w:r w:rsidRPr="00E345FB">
              <w:rPr>
                <w:sz w:val="22"/>
                <w:szCs w:val="22"/>
              </w:rPr>
              <w:t>14</w:t>
            </w:r>
          </w:p>
        </w:tc>
        <w:tc>
          <w:tcPr>
            <w:tcW w:w="435" w:type="pct"/>
          </w:tcPr>
          <w:p w:rsidR="00FB48E9" w:rsidRPr="00E345FB" w:rsidRDefault="00FB48E9" w:rsidP="00E345FB">
            <w:pPr>
              <w:suppressAutoHyphens/>
              <w:jc w:val="both"/>
              <w:rPr>
                <w:sz w:val="22"/>
                <w:szCs w:val="22"/>
              </w:rPr>
            </w:pPr>
            <w:r w:rsidRPr="00E345FB">
              <w:rPr>
                <w:sz w:val="22"/>
                <w:szCs w:val="22"/>
              </w:rPr>
              <w:t>142</w:t>
            </w:r>
          </w:p>
        </w:tc>
      </w:tr>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lastRenderedPageBreak/>
              <w:t>Canedo, E.D.</w:t>
            </w:r>
          </w:p>
        </w:tc>
        <w:tc>
          <w:tcPr>
            <w:tcW w:w="1573" w:type="pct"/>
          </w:tcPr>
          <w:p w:rsidR="00FB48E9" w:rsidRPr="00E345FB" w:rsidRDefault="00FB48E9" w:rsidP="00E345FB">
            <w:pPr>
              <w:suppressAutoHyphens/>
              <w:jc w:val="both"/>
              <w:rPr>
                <w:sz w:val="22"/>
                <w:szCs w:val="22"/>
                <w:lang w:val="en-GB"/>
              </w:rPr>
            </w:pPr>
            <w:r w:rsidRPr="00E345FB">
              <w:rPr>
                <w:sz w:val="22"/>
                <w:szCs w:val="22"/>
              </w:rPr>
              <w:t>Universidade de Brasília</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Brazil</w:t>
            </w:r>
          </w:p>
        </w:tc>
        <w:tc>
          <w:tcPr>
            <w:tcW w:w="622" w:type="pct"/>
          </w:tcPr>
          <w:p w:rsidR="00FB48E9" w:rsidRPr="00E345FB" w:rsidRDefault="00FB48E9" w:rsidP="00E345FB">
            <w:pPr>
              <w:suppressAutoHyphens/>
              <w:jc w:val="both"/>
              <w:rPr>
                <w:sz w:val="22"/>
                <w:szCs w:val="22"/>
                <w:lang w:val="en-GB"/>
              </w:rPr>
            </w:pPr>
            <w:r w:rsidRPr="00E345FB">
              <w:rPr>
                <w:sz w:val="22"/>
                <w:szCs w:val="22"/>
              </w:rPr>
              <w:t>7</w:t>
            </w:r>
          </w:p>
        </w:tc>
        <w:tc>
          <w:tcPr>
            <w:tcW w:w="757" w:type="pct"/>
          </w:tcPr>
          <w:p w:rsidR="00FB48E9" w:rsidRPr="00E345FB" w:rsidRDefault="00FB48E9" w:rsidP="00E345FB">
            <w:pPr>
              <w:suppressAutoHyphens/>
              <w:jc w:val="both"/>
              <w:rPr>
                <w:sz w:val="22"/>
                <w:szCs w:val="22"/>
                <w:lang w:val="en-GB"/>
              </w:rPr>
            </w:pPr>
            <w:r w:rsidRPr="00E345FB">
              <w:rPr>
                <w:sz w:val="22"/>
                <w:szCs w:val="22"/>
              </w:rPr>
              <w:t>1</w:t>
            </w:r>
          </w:p>
        </w:tc>
        <w:tc>
          <w:tcPr>
            <w:tcW w:w="435" w:type="pct"/>
          </w:tcPr>
          <w:p w:rsidR="00FB48E9" w:rsidRPr="00E345FB" w:rsidRDefault="00FB48E9" w:rsidP="00E345FB">
            <w:pPr>
              <w:suppressAutoHyphens/>
              <w:jc w:val="both"/>
              <w:rPr>
                <w:sz w:val="22"/>
                <w:szCs w:val="22"/>
              </w:rPr>
            </w:pPr>
            <w:r w:rsidRPr="00E345FB">
              <w:rPr>
                <w:sz w:val="22"/>
                <w:szCs w:val="22"/>
              </w:rPr>
              <w:t>25</w:t>
            </w:r>
          </w:p>
        </w:tc>
      </w:tr>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Cormican, K.</w:t>
            </w:r>
          </w:p>
        </w:tc>
        <w:tc>
          <w:tcPr>
            <w:tcW w:w="1573" w:type="pct"/>
          </w:tcPr>
          <w:p w:rsidR="00FB48E9" w:rsidRPr="00E345FB" w:rsidRDefault="00FB48E9" w:rsidP="00E345FB">
            <w:pPr>
              <w:suppressAutoHyphens/>
              <w:jc w:val="both"/>
              <w:rPr>
                <w:sz w:val="22"/>
                <w:szCs w:val="22"/>
                <w:lang w:val="en-GB"/>
              </w:rPr>
            </w:pPr>
            <w:r w:rsidRPr="00E345FB">
              <w:rPr>
                <w:sz w:val="22"/>
                <w:szCs w:val="22"/>
              </w:rPr>
              <w:t xml:space="preserve">National University of Ireland </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Ireland</w:t>
            </w:r>
          </w:p>
        </w:tc>
        <w:tc>
          <w:tcPr>
            <w:tcW w:w="622" w:type="pct"/>
          </w:tcPr>
          <w:p w:rsidR="00FB48E9" w:rsidRPr="00E345FB" w:rsidRDefault="00FB48E9" w:rsidP="00E345FB">
            <w:pPr>
              <w:suppressAutoHyphens/>
              <w:jc w:val="both"/>
              <w:rPr>
                <w:sz w:val="22"/>
                <w:szCs w:val="22"/>
                <w:lang w:val="en-GB"/>
              </w:rPr>
            </w:pPr>
            <w:r w:rsidRPr="00E345FB">
              <w:rPr>
                <w:sz w:val="22"/>
                <w:szCs w:val="22"/>
              </w:rPr>
              <w:t>7</w:t>
            </w:r>
          </w:p>
        </w:tc>
        <w:tc>
          <w:tcPr>
            <w:tcW w:w="757" w:type="pct"/>
          </w:tcPr>
          <w:p w:rsidR="00FB48E9" w:rsidRPr="00E345FB" w:rsidRDefault="00FB48E9" w:rsidP="00E345FB">
            <w:pPr>
              <w:suppressAutoHyphens/>
              <w:jc w:val="both"/>
              <w:rPr>
                <w:sz w:val="22"/>
                <w:szCs w:val="22"/>
                <w:lang w:val="en-GB"/>
              </w:rPr>
            </w:pPr>
            <w:r w:rsidRPr="00E345FB">
              <w:rPr>
                <w:sz w:val="22"/>
                <w:szCs w:val="22"/>
              </w:rPr>
              <w:t>10</w:t>
            </w:r>
          </w:p>
        </w:tc>
        <w:tc>
          <w:tcPr>
            <w:tcW w:w="435" w:type="pct"/>
          </w:tcPr>
          <w:p w:rsidR="00FB48E9" w:rsidRPr="00E345FB" w:rsidRDefault="00FB48E9" w:rsidP="00E345FB">
            <w:pPr>
              <w:suppressAutoHyphens/>
              <w:jc w:val="both"/>
              <w:rPr>
                <w:sz w:val="22"/>
                <w:szCs w:val="22"/>
              </w:rPr>
            </w:pPr>
            <w:r w:rsidRPr="00E345FB">
              <w:rPr>
                <w:sz w:val="22"/>
                <w:szCs w:val="22"/>
              </w:rPr>
              <w:t>7</w:t>
            </w:r>
          </w:p>
        </w:tc>
      </w:tr>
      <w:tr w:rsidR="00FB48E9" w:rsidRPr="00E345FB" w:rsidTr="00FB48E9">
        <w:tc>
          <w:tcPr>
            <w:tcW w:w="784"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Hehn, J.</w:t>
            </w:r>
          </w:p>
        </w:tc>
        <w:tc>
          <w:tcPr>
            <w:tcW w:w="1573" w:type="pct"/>
          </w:tcPr>
          <w:p w:rsidR="00FB48E9" w:rsidRPr="00E345FB" w:rsidRDefault="00FB48E9" w:rsidP="00E345FB">
            <w:pPr>
              <w:suppressAutoHyphens/>
              <w:jc w:val="both"/>
              <w:rPr>
                <w:sz w:val="22"/>
                <w:szCs w:val="22"/>
                <w:lang w:val="en-GB"/>
              </w:rPr>
            </w:pPr>
            <w:r w:rsidRPr="00E345FB">
              <w:rPr>
                <w:sz w:val="22"/>
                <w:szCs w:val="22"/>
              </w:rPr>
              <w:t>Berner Fachhochschule</w:t>
            </w:r>
          </w:p>
        </w:tc>
        <w:tc>
          <w:tcPr>
            <w:tcW w:w="828" w:type="pct"/>
            <w:shd w:val="clear" w:color="auto" w:fill="auto"/>
          </w:tcPr>
          <w:p w:rsidR="00FB48E9" w:rsidRPr="00E345FB" w:rsidRDefault="00FB48E9" w:rsidP="00E345FB">
            <w:pPr>
              <w:suppressAutoHyphens/>
              <w:jc w:val="both"/>
              <w:rPr>
                <w:color w:val="000000"/>
                <w:sz w:val="22"/>
                <w:szCs w:val="22"/>
                <w:lang w:val="en-GB"/>
              </w:rPr>
            </w:pPr>
            <w:r w:rsidRPr="00E345FB">
              <w:rPr>
                <w:sz w:val="22"/>
                <w:szCs w:val="22"/>
              </w:rPr>
              <w:t>Switzerland</w:t>
            </w:r>
          </w:p>
        </w:tc>
        <w:tc>
          <w:tcPr>
            <w:tcW w:w="622" w:type="pct"/>
          </w:tcPr>
          <w:p w:rsidR="00FB48E9" w:rsidRPr="00E345FB" w:rsidRDefault="00FB48E9" w:rsidP="00E345FB">
            <w:pPr>
              <w:suppressAutoHyphens/>
              <w:jc w:val="both"/>
              <w:rPr>
                <w:sz w:val="22"/>
                <w:szCs w:val="22"/>
                <w:lang w:val="en-GB"/>
              </w:rPr>
            </w:pPr>
            <w:r w:rsidRPr="00E345FB">
              <w:rPr>
                <w:sz w:val="22"/>
                <w:szCs w:val="22"/>
              </w:rPr>
              <w:t>7</w:t>
            </w:r>
          </w:p>
        </w:tc>
        <w:tc>
          <w:tcPr>
            <w:tcW w:w="757" w:type="pct"/>
          </w:tcPr>
          <w:p w:rsidR="00FB48E9" w:rsidRPr="00E345FB" w:rsidRDefault="00FB48E9" w:rsidP="00E345FB">
            <w:pPr>
              <w:suppressAutoHyphens/>
              <w:jc w:val="both"/>
              <w:rPr>
                <w:sz w:val="22"/>
                <w:szCs w:val="22"/>
                <w:lang w:val="en-GB"/>
              </w:rPr>
            </w:pPr>
            <w:r w:rsidRPr="00E345FB">
              <w:rPr>
                <w:sz w:val="22"/>
                <w:szCs w:val="22"/>
              </w:rPr>
              <w:t>9</w:t>
            </w:r>
          </w:p>
        </w:tc>
        <w:tc>
          <w:tcPr>
            <w:tcW w:w="435" w:type="pct"/>
          </w:tcPr>
          <w:p w:rsidR="00FB48E9" w:rsidRPr="00E345FB" w:rsidRDefault="00FB48E9" w:rsidP="00E345FB">
            <w:pPr>
              <w:suppressAutoHyphens/>
              <w:jc w:val="both"/>
              <w:rPr>
                <w:sz w:val="22"/>
                <w:szCs w:val="22"/>
              </w:rPr>
            </w:pPr>
            <w:r w:rsidRPr="00E345FB">
              <w:rPr>
                <w:sz w:val="22"/>
                <w:szCs w:val="22"/>
              </w:rPr>
              <w:t>54</w:t>
            </w:r>
          </w:p>
        </w:tc>
      </w:tr>
      <w:tr w:rsidR="00FB48E9" w:rsidRPr="00E345FB" w:rsidTr="00FB48E9">
        <w:tc>
          <w:tcPr>
            <w:tcW w:w="784" w:type="pct"/>
            <w:shd w:val="clear" w:color="auto" w:fill="auto"/>
          </w:tcPr>
          <w:p w:rsidR="00FB48E9" w:rsidRPr="00E345FB" w:rsidRDefault="00FB48E9" w:rsidP="00E345FB">
            <w:pPr>
              <w:suppressAutoHyphens/>
              <w:jc w:val="both"/>
              <w:rPr>
                <w:sz w:val="22"/>
                <w:szCs w:val="22"/>
              </w:rPr>
            </w:pPr>
            <w:r w:rsidRPr="00E345FB">
              <w:rPr>
                <w:sz w:val="22"/>
                <w:szCs w:val="22"/>
              </w:rPr>
              <w:t>Liu, J.</w:t>
            </w:r>
          </w:p>
        </w:tc>
        <w:tc>
          <w:tcPr>
            <w:tcW w:w="1573" w:type="pct"/>
          </w:tcPr>
          <w:p w:rsidR="00FB48E9" w:rsidRPr="00E345FB" w:rsidRDefault="00FB48E9" w:rsidP="00E345FB">
            <w:pPr>
              <w:suppressAutoHyphens/>
              <w:jc w:val="both"/>
              <w:rPr>
                <w:sz w:val="22"/>
                <w:szCs w:val="22"/>
                <w:lang w:val="en-GB"/>
              </w:rPr>
            </w:pPr>
            <w:r w:rsidRPr="00E345FB">
              <w:rPr>
                <w:sz w:val="22"/>
                <w:szCs w:val="22"/>
              </w:rPr>
              <w:t>Beihang University</w:t>
            </w:r>
          </w:p>
        </w:tc>
        <w:tc>
          <w:tcPr>
            <w:tcW w:w="828" w:type="pct"/>
            <w:shd w:val="clear" w:color="auto" w:fill="auto"/>
          </w:tcPr>
          <w:p w:rsidR="00FB48E9" w:rsidRPr="00E345FB" w:rsidRDefault="00FB48E9" w:rsidP="00E345FB">
            <w:pPr>
              <w:suppressAutoHyphens/>
              <w:jc w:val="both"/>
              <w:rPr>
                <w:sz w:val="22"/>
                <w:szCs w:val="22"/>
                <w:lang w:val="en-GB"/>
              </w:rPr>
            </w:pPr>
            <w:r w:rsidRPr="00E345FB">
              <w:rPr>
                <w:sz w:val="22"/>
                <w:szCs w:val="22"/>
              </w:rPr>
              <w:t>China</w:t>
            </w:r>
          </w:p>
        </w:tc>
        <w:tc>
          <w:tcPr>
            <w:tcW w:w="622" w:type="pct"/>
          </w:tcPr>
          <w:p w:rsidR="00FB48E9" w:rsidRPr="00E345FB" w:rsidRDefault="00FB48E9" w:rsidP="00E345FB">
            <w:pPr>
              <w:suppressAutoHyphens/>
              <w:jc w:val="both"/>
              <w:rPr>
                <w:color w:val="000000"/>
                <w:sz w:val="22"/>
                <w:szCs w:val="22"/>
              </w:rPr>
            </w:pPr>
            <w:r w:rsidRPr="00E345FB">
              <w:rPr>
                <w:sz w:val="22"/>
                <w:szCs w:val="22"/>
              </w:rPr>
              <w:t>7</w:t>
            </w:r>
          </w:p>
        </w:tc>
        <w:tc>
          <w:tcPr>
            <w:tcW w:w="757" w:type="pct"/>
          </w:tcPr>
          <w:p w:rsidR="00FB48E9" w:rsidRPr="00E345FB" w:rsidRDefault="00FB48E9" w:rsidP="00E345FB">
            <w:pPr>
              <w:suppressAutoHyphens/>
              <w:jc w:val="both"/>
              <w:rPr>
                <w:sz w:val="22"/>
                <w:szCs w:val="22"/>
                <w:lang w:val="en-GB"/>
              </w:rPr>
            </w:pPr>
            <w:r w:rsidRPr="00E345FB">
              <w:rPr>
                <w:sz w:val="22"/>
                <w:szCs w:val="22"/>
              </w:rPr>
              <w:t>8</w:t>
            </w:r>
          </w:p>
        </w:tc>
        <w:tc>
          <w:tcPr>
            <w:tcW w:w="435" w:type="pct"/>
          </w:tcPr>
          <w:p w:rsidR="00FB48E9" w:rsidRPr="00E345FB" w:rsidRDefault="00FB48E9" w:rsidP="00E345FB">
            <w:pPr>
              <w:suppressAutoHyphens/>
              <w:jc w:val="both"/>
              <w:rPr>
                <w:sz w:val="22"/>
                <w:szCs w:val="22"/>
              </w:rPr>
            </w:pPr>
            <w:r w:rsidRPr="00E345FB">
              <w:rPr>
                <w:sz w:val="22"/>
                <w:szCs w:val="22"/>
              </w:rPr>
              <w:t>68</w:t>
            </w:r>
          </w:p>
        </w:tc>
      </w:tr>
      <w:tr w:rsidR="00FB48E9" w:rsidRPr="00E345FB" w:rsidTr="00FB48E9">
        <w:tc>
          <w:tcPr>
            <w:tcW w:w="784" w:type="pct"/>
            <w:shd w:val="clear" w:color="auto" w:fill="auto"/>
          </w:tcPr>
          <w:p w:rsidR="00FB48E9" w:rsidRPr="00E345FB" w:rsidRDefault="00FB48E9" w:rsidP="00E345FB">
            <w:pPr>
              <w:suppressAutoHyphens/>
              <w:jc w:val="both"/>
              <w:rPr>
                <w:sz w:val="22"/>
                <w:szCs w:val="22"/>
              </w:rPr>
            </w:pPr>
            <w:r w:rsidRPr="00E345FB">
              <w:rPr>
                <w:sz w:val="22"/>
                <w:szCs w:val="22"/>
              </w:rPr>
              <w:t>Suzianti, A.</w:t>
            </w:r>
          </w:p>
        </w:tc>
        <w:tc>
          <w:tcPr>
            <w:tcW w:w="1573" w:type="pct"/>
          </w:tcPr>
          <w:p w:rsidR="00FB48E9" w:rsidRPr="00E345FB" w:rsidRDefault="00FB48E9" w:rsidP="00E345FB">
            <w:pPr>
              <w:suppressAutoHyphens/>
              <w:jc w:val="both"/>
              <w:rPr>
                <w:sz w:val="22"/>
                <w:szCs w:val="22"/>
                <w:lang w:val="en-GB"/>
              </w:rPr>
            </w:pPr>
            <w:r w:rsidRPr="00E345FB">
              <w:rPr>
                <w:sz w:val="22"/>
                <w:szCs w:val="22"/>
              </w:rPr>
              <w:t>Universitas Indonesia</w:t>
            </w:r>
          </w:p>
        </w:tc>
        <w:tc>
          <w:tcPr>
            <w:tcW w:w="828" w:type="pct"/>
            <w:shd w:val="clear" w:color="auto" w:fill="auto"/>
          </w:tcPr>
          <w:p w:rsidR="00FB48E9" w:rsidRPr="00E345FB" w:rsidRDefault="00FB48E9" w:rsidP="00E345FB">
            <w:pPr>
              <w:suppressAutoHyphens/>
              <w:jc w:val="both"/>
              <w:rPr>
                <w:sz w:val="22"/>
                <w:szCs w:val="22"/>
                <w:lang w:val="en-GB"/>
              </w:rPr>
            </w:pPr>
            <w:r w:rsidRPr="00E345FB">
              <w:rPr>
                <w:sz w:val="22"/>
                <w:szCs w:val="22"/>
              </w:rPr>
              <w:t>Indonesia</w:t>
            </w:r>
          </w:p>
        </w:tc>
        <w:tc>
          <w:tcPr>
            <w:tcW w:w="622" w:type="pct"/>
          </w:tcPr>
          <w:p w:rsidR="00FB48E9" w:rsidRPr="00E345FB" w:rsidRDefault="00FB48E9" w:rsidP="00E345FB">
            <w:pPr>
              <w:suppressAutoHyphens/>
              <w:jc w:val="both"/>
              <w:rPr>
                <w:color w:val="000000"/>
                <w:sz w:val="22"/>
                <w:szCs w:val="22"/>
              </w:rPr>
            </w:pPr>
            <w:r w:rsidRPr="00E345FB">
              <w:rPr>
                <w:sz w:val="22"/>
                <w:szCs w:val="22"/>
              </w:rPr>
              <w:t>7</w:t>
            </w:r>
          </w:p>
        </w:tc>
        <w:tc>
          <w:tcPr>
            <w:tcW w:w="757" w:type="pct"/>
          </w:tcPr>
          <w:p w:rsidR="00FB48E9" w:rsidRPr="00E345FB" w:rsidRDefault="00FB48E9" w:rsidP="00E345FB">
            <w:pPr>
              <w:suppressAutoHyphens/>
              <w:jc w:val="both"/>
              <w:rPr>
                <w:sz w:val="22"/>
                <w:szCs w:val="22"/>
                <w:lang w:val="en-GB"/>
              </w:rPr>
            </w:pPr>
            <w:r w:rsidRPr="00E345FB">
              <w:rPr>
                <w:sz w:val="22"/>
                <w:szCs w:val="22"/>
              </w:rPr>
              <w:t>6</w:t>
            </w:r>
          </w:p>
        </w:tc>
        <w:tc>
          <w:tcPr>
            <w:tcW w:w="435" w:type="pct"/>
          </w:tcPr>
          <w:p w:rsidR="00FB48E9" w:rsidRPr="00E345FB" w:rsidRDefault="00FB48E9" w:rsidP="00E345FB">
            <w:pPr>
              <w:suppressAutoHyphens/>
              <w:jc w:val="both"/>
              <w:rPr>
                <w:sz w:val="22"/>
                <w:szCs w:val="22"/>
              </w:rPr>
            </w:pPr>
            <w:r w:rsidRPr="00E345FB">
              <w:rPr>
                <w:sz w:val="22"/>
                <w:szCs w:val="22"/>
              </w:rPr>
              <w:t>0</w:t>
            </w:r>
          </w:p>
        </w:tc>
      </w:tr>
      <w:tr w:rsidR="00FB48E9" w:rsidRPr="00E345FB" w:rsidTr="00FB48E9">
        <w:trPr>
          <w:trHeight w:val="83"/>
        </w:trPr>
        <w:tc>
          <w:tcPr>
            <w:tcW w:w="784" w:type="pct"/>
            <w:tcBorders>
              <w:bottom w:val="single" w:sz="4" w:space="0" w:color="auto"/>
            </w:tcBorders>
            <w:shd w:val="clear" w:color="auto" w:fill="auto"/>
          </w:tcPr>
          <w:p w:rsidR="00FB48E9" w:rsidRPr="00E345FB" w:rsidRDefault="00FB48E9" w:rsidP="00E345FB">
            <w:pPr>
              <w:suppressAutoHyphens/>
              <w:jc w:val="both"/>
              <w:rPr>
                <w:sz w:val="22"/>
                <w:szCs w:val="22"/>
              </w:rPr>
            </w:pPr>
            <w:r w:rsidRPr="00E345FB">
              <w:rPr>
                <w:sz w:val="22"/>
                <w:szCs w:val="22"/>
              </w:rPr>
              <w:t>Wrigley, C.</w:t>
            </w:r>
          </w:p>
          <w:p w:rsidR="00FB48E9" w:rsidRPr="00E345FB" w:rsidRDefault="00FB48E9" w:rsidP="00E345FB">
            <w:pPr>
              <w:suppressAutoHyphens/>
              <w:jc w:val="both"/>
              <w:rPr>
                <w:sz w:val="22"/>
                <w:szCs w:val="22"/>
              </w:rPr>
            </w:pPr>
          </w:p>
        </w:tc>
        <w:tc>
          <w:tcPr>
            <w:tcW w:w="1573" w:type="pct"/>
            <w:tcBorders>
              <w:bottom w:val="single" w:sz="4" w:space="0" w:color="auto"/>
            </w:tcBorders>
          </w:tcPr>
          <w:p w:rsidR="00FB48E9" w:rsidRPr="00E345FB" w:rsidRDefault="00FB48E9" w:rsidP="00E345FB">
            <w:pPr>
              <w:suppressAutoHyphens/>
              <w:jc w:val="both"/>
              <w:rPr>
                <w:sz w:val="22"/>
                <w:szCs w:val="22"/>
                <w:lang w:val="en-GB"/>
              </w:rPr>
            </w:pPr>
            <w:r w:rsidRPr="00E345FB">
              <w:rPr>
                <w:sz w:val="22"/>
                <w:szCs w:val="22"/>
              </w:rPr>
              <w:t>The University of Queensland</w:t>
            </w:r>
          </w:p>
        </w:tc>
        <w:tc>
          <w:tcPr>
            <w:tcW w:w="828" w:type="pct"/>
            <w:tcBorders>
              <w:bottom w:val="single" w:sz="4" w:space="0" w:color="auto"/>
            </w:tcBorders>
            <w:shd w:val="clear" w:color="auto" w:fill="auto"/>
          </w:tcPr>
          <w:p w:rsidR="00FB48E9" w:rsidRPr="00E345FB" w:rsidRDefault="00FB48E9" w:rsidP="00E345FB">
            <w:pPr>
              <w:suppressAutoHyphens/>
              <w:jc w:val="both"/>
              <w:rPr>
                <w:sz w:val="22"/>
                <w:szCs w:val="22"/>
                <w:lang w:val="en-GB"/>
              </w:rPr>
            </w:pPr>
            <w:r w:rsidRPr="00E345FB">
              <w:rPr>
                <w:sz w:val="22"/>
                <w:szCs w:val="22"/>
              </w:rPr>
              <w:t>Australia</w:t>
            </w:r>
          </w:p>
        </w:tc>
        <w:tc>
          <w:tcPr>
            <w:tcW w:w="622" w:type="pct"/>
            <w:tcBorders>
              <w:bottom w:val="single" w:sz="4" w:space="0" w:color="auto"/>
            </w:tcBorders>
          </w:tcPr>
          <w:p w:rsidR="00FB48E9" w:rsidRPr="00E345FB" w:rsidRDefault="00FB48E9" w:rsidP="00E345FB">
            <w:pPr>
              <w:suppressAutoHyphens/>
              <w:jc w:val="both"/>
              <w:rPr>
                <w:color w:val="000000"/>
                <w:sz w:val="22"/>
                <w:szCs w:val="22"/>
              </w:rPr>
            </w:pPr>
            <w:r w:rsidRPr="00E345FB">
              <w:rPr>
                <w:sz w:val="22"/>
                <w:szCs w:val="22"/>
              </w:rPr>
              <w:t>7</w:t>
            </w:r>
          </w:p>
        </w:tc>
        <w:tc>
          <w:tcPr>
            <w:tcW w:w="757" w:type="pct"/>
            <w:tcBorders>
              <w:bottom w:val="single" w:sz="4" w:space="0" w:color="auto"/>
            </w:tcBorders>
          </w:tcPr>
          <w:p w:rsidR="00FB48E9" w:rsidRPr="00E345FB" w:rsidRDefault="00FB48E9" w:rsidP="00E345FB">
            <w:pPr>
              <w:suppressAutoHyphens/>
              <w:jc w:val="both"/>
              <w:rPr>
                <w:sz w:val="22"/>
                <w:szCs w:val="22"/>
                <w:lang w:val="en-GB"/>
              </w:rPr>
            </w:pPr>
            <w:r w:rsidRPr="00E345FB">
              <w:rPr>
                <w:sz w:val="22"/>
                <w:szCs w:val="22"/>
              </w:rPr>
              <w:t>8</w:t>
            </w:r>
          </w:p>
        </w:tc>
        <w:tc>
          <w:tcPr>
            <w:tcW w:w="435" w:type="pct"/>
            <w:tcBorders>
              <w:bottom w:val="single" w:sz="4" w:space="0" w:color="auto"/>
            </w:tcBorders>
          </w:tcPr>
          <w:p w:rsidR="00FB48E9" w:rsidRPr="00E345FB" w:rsidRDefault="00FB48E9" w:rsidP="00E345FB">
            <w:pPr>
              <w:suppressAutoHyphens/>
              <w:jc w:val="both"/>
              <w:rPr>
                <w:sz w:val="22"/>
                <w:szCs w:val="22"/>
              </w:rPr>
            </w:pPr>
            <w:r w:rsidRPr="00E345FB">
              <w:rPr>
                <w:sz w:val="22"/>
                <w:szCs w:val="22"/>
              </w:rPr>
              <w:t>148</w:t>
            </w:r>
          </w:p>
        </w:tc>
      </w:tr>
    </w:tbl>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0E32C7" w:rsidP="00E345FB">
      <w:pPr>
        <w:pStyle w:val="SAP-Paragraph"/>
        <w:suppressAutoHyphens/>
        <w:spacing w:line="240" w:lineRule="auto"/>
        <w:ind w:firstLineChars="0" w:firstLine="0"/>
        <w:rPr>
          <w:sz w:val="22"/>
          <w:szCs w:val="22"/>
          <w:lang w:val="en-GB"/>
        </w:rPr>
      </w:pPr>
    </w:p>
    <w:p w:rsidR="00947AD3" w:rsidRDefault="00947AD3" w:rsidP="00E345FB">
      <w:pPr>
        <w:pStyle w:val="SAP-Paragraph"/>
        <w:suppressAutoHyphens/>
        <w:spacing w:line="240" w:lineRule="auto"/>
        <w:ind w:firstLine="220"/>
        <w:rPr>
          <w:sz w:val="22"/>
          <w:szCs w:val="22"/>
          <w:lang w:val="en-GB"/>
        </w:rPr>
        <w:sectPr w:rsidR="00947AD3" w:rsidSect="000479B9">
          <w:type w:val="continuous"/>
          <w:pgSz w:w="11907" w:h="16840" w:code="9"/>
          <w:pgMar w:top="1440" w:right="1440" w:bottom="1440" w:left="1440" w:header="709" w:footer="709" w:gutter="0"/>
          <w:cols w:space="284"/>
          <w:titlePg/>
          <w:docGrid w:linePitch="360"/>
        </w:sectPr>
      </w:pPr>
    </w:p>
    <w:p w:rsidR="00DB5E45" w:rsidRPr="00E345FB" w:rsidRDefault="00DB5E45" w:rsidP="00E345FB">
      <w:pPr>
        <w:pStyle w:val="SAP-Paragraph"/>
        <w:suppressAutoHyphens/>
        <w:spacing w:line="240" w:lineRule="auto"/>
        <w:ind w:firstLine="220"/>
        <w:rPr>
          <w:sz w:val="22"/>
          <w:szCs w:val="22"/>
          <w:lang w:val="en-GB"/>
        </w:rPr>
      </w:pPr>
      <w:r w:rsidRPr="00E345FB">
        <w:rPr>
          <w:sz w:val="22"/>
          <w:szCs w:val="22"/>
          <w:lang w:val="en-GB"/>
        </w:rPr>
        <w:lastRenderedPageBreak/>
        <w:t xml:space="preserve">The network of co-authors of publications on design thinking from 2000 to 2021 produced 4250 authors. We identified 371 authors with </w:t>
      </w:r>
      <w:r w:rsidR="00497C52" w:rsidRPr="00E345FB">
        <w:rPr>
          <w:sz w:val="22"/>
          <w:szCs w:val="22"/>
          <w:lang w:val="en-GB"/>
        </w:rPr>
        <w:t xml:space="preserve">a </w:t>
      </w:r>
      <w:r w:rsidRPr="00E345FB">
        <w:rPr>
          <w:sz w:val="22"/>
          <w:szCs w:val="22"/>
          <w:lang w:val="en-GB"/>
        </w:rPr>
        <w:t xml:space="preserve">full counting method, minimum productivity of 2 documents, and a minimum total citation of 5 was visualized using the VOSviewer technique and are presented in Figure 3. </w:t>
      </w:r>
      <w:r w:rsidR="003C645E" w:rsidRPr="00E345FB">
        <w:rPr>
          <w:sz w:val="22"/>
          <w:szCs w:val="22"/>
          <w:lang w:val="en-GB"/>
        </w:rPr>
        <w:t xml:space="preserve">However, only 113 authors were visually mapped in Figure 3 because several authors were not connected. Closed circles indicated active authors of close research collaboration.The lines between authors represent their collaborative links, while 12 different colors represent groups of authors’ </w:t>
      </w:r>
      <w:r w:rsidR="003C645E" w:rsidRPr="00E345FB">
        <w:rPr>
          <w:sz w:val="22"/>
          <w:szCs w:val="22"/>
          <w:lang w:val="en-GB"/>
        </w:rPr>
        <w:lastRenderedPageBreak/>
        <w:t>collaborations. We can see how the total link strength attribute can give an idea of the total strength of an author with other researchers.</w:t>
      </w:r>
      <w:r w:rsidRPr="00E345FB">
        <w:rPr>
          <w:sz w:val="22"/>
          <w:szCs w:val="22"/>
          <w:lang w:val="en-GB"/>
        </w:rPr>
        <w:t xml:space="preserve"> Although all 16 of the top authors listed in Table </w:t>
      </w:r>
      <w:r w:rsidR="007E71CC" w:rsidRPr="00E345FB">
        <w:rPr>
          <w:sz w:val="22"/>
          <w:szCs w:val="22"/>
          <w:lang w:val="en-GB"/>
        </w:rPr>
        <w:t>3</w:t>
      </w:r>
      <w:r w:rsidRPr="00E345FB">
        <w:rPr>
          <w:sz w:val="22"/>
          <w:szCs w:val="22"/>
          <w:lang w:val="en-GB"/>
        </w:rPr>
        <w:t xml:space="preserve"> belong to different groups, the close and strong relationship suggests a relatively strong research link related to design thinking. For example, Meinel, C. Cluster 1 (red</w:t>
      </w:r>
      <w:r w:rsidR="00B51082" w:rsidRPr="00E345FB">
        <w:rPr>
          <w:sz w:val="22"/>
          <w:szCs w:val="22"/>
          <w:lang w:val="en-GB"/>
        </w:rPr>
        <w:t>: 50 total link strength</w:t>
      </w:r>
      <w:r w:rsidRPr="00E345FB">
        <w:rPr>
          <w:sz w:val="22"/>
          <w:szCs w:val="22"/>
          <w:lang w:val="en-GB"/>
        </w:rPr>
        <w:t>)</w:t>
      </w:r>
      <w:r w:rsidR="00497C52" w:rsidRPr="00E345FB">
        <w:rPr>
          <w:sz w:val="22"/>
          <w:szCs w:val="22"/>
          <w:lang w:val="en-GB"/>
        </w:rPr>
        <w:t>,</w:t>
      </w:r>
      <w:r w:rsidRPr="00E345FB">
        <w:rPr>
          <w:sz w:val="22"/>
          <w:szCs w:val="22"/>
          <w:lang w:val="en-GB"/>
        </w:rPr>
        <w:t xml:space="preserve"> Leifer, L. Cluster 5 (</w:t>
      </w:r>
      <w:r w:rsidR="005F62D3" w:rsidRPr="00E345FB">
        <w:rPr>
          <w:sz w:val="22"/>
          <w:szCs w:val="22"/>
          <w:lang w:val="en-GB"/>
        </w:rPr>
        <w:t>p</w:t>
      </w:r>
      <w:r w:rsidRPr="00E345FB">
        <w:rPr>
          <w:sz w:val="22"/>
          <w:szCs w:val="22"/>
          <w:lang w:val="en-GB"/>
        </w:rPr>
        <w:t>urple</w:t>
      </w:r>
      <w:r w:rsidR="00B51082" w:rsidRPr="00E345FB">
        <w:rPr>
          <w:sz w:val="22"/>
          <w:szCs w:val="22"/>
          <w:lang w:val="en-GB"/>
        </w:rPr>
        <w:t>: 39 total link strength</w:t>
      </w:r>
      <w:r w:rsidRPr="00E345FB">
        <w:rPr>
          <w:sz w:val="22"/>
          <w:szCs w:val="22"/>
          <w:lang w:val="en-GB"/>
        </w:rPr>
        <w:t>), and  Uebernickel, F. in Cluster 8 (cyan</w:t>
      </w:r>
      <w:r w:rsidR="00B51082" w:rsidRPr="00E345FB">
        <w:rPr>
          <w:sz w:val="22"/>
          <w:szCs w:val="22"/>
          <w:lang w:val="en-GB"/>
        </w:rPr>
        <w:t>: 34 total link strength</w:t>
      </w:r>
      <w:r w:rsidRPr="00E345FB">
        <w:rPr>
          <w:sz w:val="22"/>
          <w:szCs w:val="22"/>
          <w:lang w:val="en-GB"/>
        </w:rPr>
        <w:t xml:space="preserve">) were strongly linked together, as shown in </w:t>
      </w:r>
      <w:r w:rsidR="00D026A9" w:rsidRPr="00E345FB">
        <w:rPr>
          <w:sz w:val="22"/>
          <w:szCs w:val="22"/>
          <w:lang w:val="en-GB"/>
        </w:rPr>
        <w:t>f</w:t>
      </w:r>
      <w:r w:rsidRPr="00E345FB">
        <w:rPr>
          <w:sz w:val="22"/>
          <w:szCs w:val="22"/>
          <w:lang w:val="en-GB"/>
        </w:rPr>
        <w:t>igure</w:t>
      </w:r>
      <w:r w:rsidR="003C645E" w:rsidRPr="00E345FB">
        <w:rPr>
          <w:sz w:val="22"/>
          <w:szCs w:val="22"/>
          <w:lang w:val="en-GB"/>
        </w:rPr>
        <w:t>.</w:t>
      </w:r>
    </w:p>
    <w:p w:rsidR="00947AD3" w:rsidRDefault="00947AD3" w:rsidP="00E345FB">
      <w:pPr>
        <w:pStyle w:val="SAP-Paragraph"/>
        <w:suppressAutoHyphens/>
        <w:spacing w:line="240" w:lineRule="auto"/>
        <w:ind w:firstLineChars="0" w:firstLine="0"/>
        <w:rPr>
          <w:sz w:val="22"/>
          <w:szCs w:val="22"/>
          <w:lang w:val="en-GB"/>
        </w:rPr>
        <w:sectPr w:rsidR="00947AD3" w:rsidSect="00947AD3">
          <w:type w:val="continuous"/>
          <w:pgSz w:w="11907" w:h="16840" w:code="9"/>
          <w:pgMar w:top="1440" w:right="1440" w:bottom="1440" w:left="1440" w:header="709" w:footer="709" w:gutter="0"/>
          <w:cols w:num="2" w:space="284"/>
          <w:titlePg/>
          <w:docGrid w:linePitch="360"/>
        </w:sectPr>
      </w:pPr>
    </w:p>
    <w:p w:rsidR="000E32C7" w:rsidRPr="00E345FB" w:rsidRDefault="003C4F6C" w:rsidP="00E345FB">
      <w:pPr>
        <w:pStyle w:val="SAP-Paragraph"/>
        <w:suppressAutoHyphens/>
        <w:spacing w:line="240" w:lineRule="auto"/>
        <w:ind w:firstLineChars="0" w:firstLine="0"/>
        <w:rPr>
          <w:sz w:val="22"/>
          <w:szCs w:val="22"/>
          <w:lang w:val="en-GB"/>
        </w:rPr>
      </w:pPr>
      <w:r w:rsidRPr="00E345FB">
        <w:rPr>
          <w:rFonts w:eastAsia="SimSun"/>
          <w:b/>
          <w:noProof/>
          <w:sz w:val="22"/>
          <w:szCs w:val="22"/>
          <w:lang w:val="en-US" w:eastAsia="en-US"/>
        </w:rPr>
        <w:drawing>
          <wp:anchor distT="0" distB="0" distL="114300" distR="114300" simplePos="0" relativeHeight="251694080" behindDoc="1" locked="0" layoutInCell="1" allowOverlap="1">
            <wp:simplePos x="0" y="0"/>
            <wp:positionH relativeFrom="column">
              <wp:posOffset>0</wp:posOffset>
            </wp:positionH>
            <wp:positionV relativeFrom="paragraph">
              <wp:posOffset>0</wp:posOffset>
            </wp:positionV>
            <wp:extent cx="5915025" cy="3700145"/>
            <wp:effectExtent l="0" t="0" r="9525" b="0"/>
            <wp:wrapTight wrapText="bothSides">
              <wp:wrapPolygon edited="0">
                <wp:start x="0" y="0"/>
                <wp:lineTo x="0" y="21463"/>
                <wp:lineTo x="21565" y="21463"/>
                <wp:lineTo x="21565" y="0"/>
                <wp:lineTo x="0" y="0"/>
              </wp:wrapPolygon>
            </wp:wrapTight>
            <wp:docPr id="49" name="Picture 4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Map&#10;&#10;Description automatically generated"/>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15025" cy="3700145"/>
                    </a:xfrm>
                    <a:prstGeom prst="rect">
                      <a:avLst/>
                    </a:prstGeom>
                  </pic:spPr>
                </pic:pic>
              </a:graphicData>
            </a:graphic>
          </wp:anchor>
        </w:drawing>
      </w:r>
    </w:p>
    <w:p w:rsidR="00FB48E9" w:rsidRPr="00E345FB" w:rsidRDefault="00FB48E9" w:rsidP="00E345FB">
      <w:pPr>
        <w:pStyle w:val="SAP-Paragraph"/>
        <w:suppressAutoHyphens/>
        <w:spacing w:line="240" w:lineRule="auto"/>
        <w:ind w:firstLine="221"/>
        <w:jc w:val="center"/>
        <w:rPr>
          <w:sz w:val="22"/>
          <w:szCs w:val="22"/>
          <w:lang w:val="en-GB"/>
        </w:rPr>
      </w:pPr>
      <w:r w:rsidRPr="00E345FB">
        <w:rPr>
          <w:b/>
          <w:bCs/>
          <w:sz w:val="22"/>
          <w:szCs w:val="22"/>
          <w:lang w:val="en-GB"/>
        </w:rPr>
        <w:t>Figure 3</w:t>
      </w:r>
      <w:r w:rsidRPr="00E345FB">
        <w:rPr>
          <w:sz w:val="22"/>
          <w:szCs w:val="22"/>
          <w:lang w:val="en-GB"/>
        </w:rPr>
        <w:t xml:space="preserve">. Network </w:t>
      </w:r>
      <w:r w:rsidR="00497C52" w:rsidRPr="00E345FB">
        <w:rPr>
          <w:sz w:val="22"/>
          <w:szCs w:val="22"/>
          <w:lang w:val="en-GB"/>
        </w:rPr>
        <w:t>visualization</w:t>
      </w:r>
      <w:r w:rsidRPr="00E345FB">
        <w:rPr>
          <w:sz w:val="22"/>
          <w:szCs w:val="22"/>
          <w:lang w:val="en-GB"/>
        </w:rPr>
        <w:t xml:space="preserve"> map of the co-authorshippublishing on design thinking from 2000 to 2021.</w:t>
      </w:r>
    </w:p>
    <w:p w:rsidR="007F2A95" w:rsidRPr="00E345FB" w:rsidRDefault="007F2A95" w:rsidP="00E345FB">
      <w:pPr>
        <w:pStyle w:val="SAP-Paragraph"/>
        <w:suppressAutoHyphens/>
        <w:spacing w:line="240" w:lineRule="auto"/>
        <w:ind w:firstLine="220"/>
        <w:rPr>
          <w:sz w:val="22"/>
          <w:szCs w:val="22"/>
          <w:lang w:val="en-GB"/>
        </w:rPr>
      </w:pPr>
    </w:p>
    <w:p w:rsidR="007F2A95" w:rsidRPr="00E345FB" w:rsidRDefault="007F2A95" w:rsidP="00E345FB">
      <w:pPr>
        <w:pStyle w:val="SAP-Paragraph"/>
        <w:suppressAutoHyphens/>
        <w:spacing w:line="240" w:lineRule="auto"/>
        <w:ind w:firstLine="220"/>
        <w:rPr>
          <w:sz w:val="22"/>
          <w:szCs w:val="22"/>
          <w:lang w:val="en-GB"/>
        </w:rPr>
      </w:pPr>
    </w:p>
    <w:p w:rsidR="007F2A95" w:rsidRPr="00E345FB" w:rsidRDefault="007F2A95" w:rsidP="00E345FB">
      <w:pPr>
        <w:pStyle w:val="SAP-Paragraph"/>
        <w:suppressAutoHyphens/>
        <w:spacing w:line="240" w:lineRule="auto"/>
        <w:ind w:firstLine="220"/>
        <w:rPr>
          <w:sz w:val="22"/>
          <w:szCs w:val="22"/>
          <w:lang w:val="en-GB"/>
        </w:rPr>
      </w:pPr>
    </w:p>
    <w:p w:rsidR="007F2A95" w:rsidRDefault="007F2A95" w:rsidP="00E345FB">
      <w:pPr>
        <w:pStyle w:val="SAP-Paragraph"/>
        <w:suppressAutoHyphens/>
        <w:spacing w:line="240" w:lineRule="auto"/>
        <w:ind w:firstLine="220"/>
        <w:rPr>
          <w:sz w:val="22"/>
          <w:szCs w:val="22"/>
          <w:lang w:val="en-GB"/>
        </w:rPr>
      </w:pPr>
    </w:p>
    <w:p w:rsidR="00E345FB" w:rsidRDefault="00E345FB" w:rsidP="00E345FB">
      <w:pPr>
        <w:pStyle w:val="SAP-Paragraph"/>
        <w:suppressAutoHyphens/>
        <w:spacing w:line="240" w:lineRule="auto"/>
        <w:ind w:firstLine="220"/>
        <w:rPr>
          <w:sz w:val="22"/>
          <w:szCs w:val="22"/>
          <w:lang w:val="en-GB"/>
        </w:rPr>
      </w:pPr>
    </w:p>
    <w:p w:rsidR="00E345FB" w:rsidRDefault="00E345FB" w:rsidP="00E345FB">
      <w:pPr>
        <w:pStyle w:val="SAP-Paragraph"/>
        <w:suppressAutoHyphens/>
        <w:spacing w:line="240" w:lineRule="auto"/>
        <w:ind w:firstLine="220"/>
        <w:rPr>
          <w:sz w:val="22"/>
          <w:szCs w:val="22"/>
          <w:lang w:val="en-GB"/>
        </w:rPr>
      </w:pPr>
    </w:p>
    <w:p w:rsidR="00E345FB" w:rsidRPr="00E345FB" w:rsidRDefault="00E345FB" w:rsidP="00E345FB">
      <w:pPr>
        <w:pStyle w:val="SAP-Paragraph"/>
        <w:suppressAutoHyphens/>
        <w:spacing w:line="240" w:lineRule="auto"/>
        <w:ind w:firstLine="220"/>
        <w:rPr>
          <w:sz w:val="22"/>
          <w:szCs w:val="22"/>
          <w:lang w:val="en-GB"/>
        </w:rPr>
      </w:pPr>
    </w:p>
    <w:p w:rsidR="007F2A95" w:rsidRPr="00E345FB" w:rsidRDefault="007F2A95" w:rsidP="00E345FB">
      <w:pPr>
        <w:pStyle w:val="SAP-Paragraph"/>
        <w:suppressAutoHyphens/>
        <w:spacing w:line="240" w:lineRule="auto"/>
        <w:ind w:firstLine="220"/>
        <w:rPr>
          <w:sz w:val="22"/>
          <w:szCs w:val="22"/>
          <w:lang w:val="en-GB"/>
        </w:rPr>
      </w:pPr>
    </w:p>
    <w:p w:rsidR="007F2A95" w:rsidRPr="00E345FB" w:rsidRDefault="007F2A95" w:rsidP="00E345FB">
      <w:pPr>
        <w:pStyle w:val="SAP-Paragraph"/>
        <w:suppressAutoHyphens/>
        <w:spacing w:line="240" w:lineRule="auto"/>
        <w:ind w:firstLine="220"/>
        <w:rPr>
          <w:sz w:val="22"/>
          <w:szCs w:val="22"/>
          <w:lang w:val="en-GB"/>
        </w:rPr>
      </w:pPr>
    </w:p>
    <w:p w:rsidR="00947AD3" w:rsidRDefault="00947AD3" w:rsidP="00E345FB">
      <w:pPr>
        <w:pStyle w:val="SAP-Paragraph"/>
        <w:suppressAutoHyphens/>
        <w:spacing w:line="240" w:lineRule="auto"/>
        <w:ind w:firstLineChars="0" w:firstLine="0"/>
        <w:rPr>
          <w:b/>
          <w:bCs/>
          <w:i/>
          <w:iCs/>
          <w:sz w:val="22"/>
          <w:szCs w:val="22"/>
          <w:lang w:val="en-GB"/>
        </w:rPr>
        <w:sectPr w:rsidR="00947AD3" w:rsidSect="000479B9">
          <w:type w:val="continuous"/>
          <w:pgSz w:w="11907" w:h="16840" w:code="9"/>
          <w:pgMar w:top="1440" w:right="1440" w:bottom="1440" w:left="1440" w:header="709" w:footer="709" w:gutter="0"/>
          <w:cols w:space="284"/>
          <w:titlePg/>
          <w:docGrid w:linePitch="360"/>
        </w:sectPr>
      </w:pPr>
    </w:p>
    <w:p w:rsidR="000E32C7" w:rsidRPr="00E345FB" w:rsidRDefault="00100B3D" w:rsidP="00E345FB">
      <w:pPr>
        <w:pStyle w:val="SAP-Paragraph"/>
        <w:suppressAutoHyphens/>
        <w:spacing w:line="240" w:lineRule="auto"/>
        <w:ind w:firstLineChars="0" w:firstLine="0"/>
        <w:rPr>
          <w:b/>
          <w:bCs/>
          <w:i/>
          <w:iCs/>
          <w:sz w:val="22"/>
          <w:szCs w:val="22"/>
          <w:lang w:val="en-GB"/>
        </w:rPr>
      </w:pPr>
      <w:r w:rsidRPr="00E345FB">
        <w:rPr>
          <w:b/>
          <w:bCs/>
          <w:i/>
          <w:iCs/>
          <w:sz w:val="22"/>
          <w:szCs w:val="22"/>
          <w:lang w:val="en-GB"/>
        </w:rPr>
        <w:lastRenderedPageBreak/>
        <w:t>Co-Authorship Countries Network</w:t>
      </w:r>
      <w:r w:rsidRPr="00E345FB">
        <w:rPr>
          <w:b/>
          <w:bCs/>
          <w:i/>
          <w:iCs/>
          <w:sz w:val="22"/>
          <w:szCs w:val="22"/>
        </w:rPr>
        <w:t xml:space="preserve">and </w:t>
      </w:r>
      <w:r w:rsidRPr="00E345FB">
        <w:rPr>
          <w:b/>
          <w:bCs/>
          <w:i/>
          <w:iCs/>
          <w:sz w:val="22"/>
          <w:szCs w:val="22"/>
          <w:lang w:val="en-GB"/>
        </w:rPr>
        <w:t xml:space="preserve">Geographical Distribution </w:t>
      </w:r>
      <w:r w:rsidR="00D026A9" w:rsidRPr="00E345FB">
        <w:rPr>
          <w:b/>
          <w:bCs/>
          <w:i/>
          <w:iCs/>
          <w:sz w:val="22"/>
          <w:szCs w:val="22"/>
          <w:lang w:val="en-GB"/>
        </w:rPr>
        <w:t>o</w:t>
      </w:r>
      <w:r w:rsidRPr="00E345FB">
        <w:rPr>
          <w:b/>
          <w:bCs/>
          <w:i/>
          <w:iCs/>
          <w:sz w:val="22"/>
          <w:szCs w:val="22"/>
          <w:lang w:val="en-GB"/>
        </w:rPr>
        <w:t xml:space="preserve">f Publications </w:t>
      </w:r>
    </w:p>
    <w:p w:rsidR="00100B3D" w:rsidRPr="00E345FB" w:rsidRDefault="00100B3D" w:rsidP="00E345FB">
      <w:pPr>
        <w:pStyle w:val="SAP-Paragraph"/>
        <w:suppressAutoHyphens/>
        <w:spacing w:line="240" w:lineRule="auto"/>
        <w:ind w:firstLine="220"/>
        <w:rPr>
          <w:sz w:val="22"/>
          <w:szCs w:val="22"/>
          <w:lang w:val="en-GB"/>
        </w:rPr>
      </w:pPr>
      <w:r w:rsidRPr="00E345FB">
        <w:rPr>
          <w:sz w:val="22"/>
          <w:szCs w:val="22"/>
          <w:lang w:val="en-GB"/>
        </w:rPr>
        <w:t xml:space="preserve">The national network of co-authors publishing design thoughts from 2000 to 2021 produced 135 countries. This indicates that many researchers worldwide have conducted literature reviews on design thinking. A visualization of cooperation between countries with minimum productivity of 1 document is shown in Figure 4. With a minimum of 5 citations, 55 countries are connected and grouped into 11 different clusters with colors according to clusters. Shown the top 20 countries contributing to publications are listed in Table 4. The United States ranked first </w:t>
      </w:r>
      <w:r w:rsidRPr="00E345FB">
        <w:rPr>
          <w:sz w:val="22"/>
          <w:szCs w:val="22"/>
          <w:lang w:val="en-GB"/>
        </w:rPr>
        <w:lastRenderedPageBreak/>
        <w:t xml:space="preserve">in total link strength as well as total </w:t>
      </w:r>
      <w:r w:rsidR="005740D5" w:rsidRPr="00E345FB">
        <w:rPr>
          <w:sz w:val="22"/>
          <w:szCs w:val="22"/>
          <w:lang w:val="en-GB"/>
        </w:rPr>
        <w:t xml:space="preserve">531 </w:t>
      </w:r>
      <w:r w:rsidRPr="00E345FB">
        <w:rPr>
          <w:sz w:val="22"/>
          <w:szCs w:val="22"/>
          <w:lang w:val="en-GB"/>
        </w:rPr>
        <w:t xml:space="preserve">numbers of documents </w:t>
      </w:r>
      <w:r w:rsidR="005740D5" w:rsidRPr="00E345FB">
        <w:rPr>
          <w:sz w:val="22"/>
          <w:szCs w:val="22"/>
          <w:lang w:val="en-GB"/>
        </w:rPr>
        <w:t>(28.37%)</w:t>
      </w:r>
      <w:r w:rsidRPr="00E345FB">
        <w:rPr>
          <w:sz w:val="22"/>
          <w:szCs w:val="22"/>
          <w:lang w:val="en-GB"/>
        </w:rPr>
        <w:t xml:space="preserve">and </w:t>
      </w:r>
      <w:r w:rsidR="005740D5" w:rsidRPr="00E345FB">
        <w:rPr>
          <w:sz w:val="22"/>
          <w:szCs w:val="22"/>
          <w:lang w:val="en-GB"/>
        </w:rPr>
        <w:t xml:space="preserve">9743 total </w:t>
      </w:r>
      <w:r w:rsidRPr="00E345FB">
        <w:rPr>
          <w:sz w:val="22"/>
          <w:szCs w:val="22"/>
          <w:lang w:val="en-GB"/>
        </w:rPr>
        <w:t>citations, followed by Germany</w:t>
      </w:r>
      <w:r w:rsidR="005740D5" w:rsidRPr="00E345FB">
        <w:rPr>
          <w:sz w:val="22"/>
          <w:szCs w:val="22"/>
          <w:lang w:val="en-GB"/>
        </w:rPr>
        <w:t xml:space="preserve"> with 140</w:t>
      </w:r>
      <w:r w:rsidRPr="00E345FB">
        <w:rPr>
          <w:sz w:val="22"/>
          <w:szCs w:val="22"/>
          <w:lang w:val="en-GB"/>
        </w:rPr>
        <w:t xml:space="preserve"> (7.52%) and Australia</w:t>
      </w:r>
      <w:r w:rsidR="005740D5" w:rsidRPr="00E345FB">
        <w:rPr>
          <w:sz w:val="22"/>
          <w:szCs w:val="22"/>
          <w:lang w:val="en-GB"/>
        </w:rPr>
        <w:t xml:space="preserve"> with 115</w:t>
      </w:r>
      <w:r w:rsidRPr="00E345FB">
        <w:rPr>
          <w:sz w:val="22"/>
          <w:szCs w:val="22"/>
          <w:lang w:val="en-GB"/>
        </w:rPr>
        <w:t xml:space="preserve"> (6.13%)</w:t>
      </w:r>
      <w:r w:rsidR="005740D5" w:rsidRPr="00E345FB">
        <w:rPr>
          <w:sz w:val="22"/>
          <w:szCs w:val="22"/>
          <w:lang w:val="en-GB"/>
        </w:rPr>
        <w:t xml:space="preserve"> documents</w:t>
      </w:r>
      <w:r w:rsidRPr="00E345FB">
        <w:rPr>
          <w:sz w:val="22"/>
          <w:szCs w:val="22"/>
          <w:lang w:val="en-GB"/>
        </w:rPr>
        <w:t>.</w:t>
      </w:r>
    </w:p>
    <w:p w:rsidR="00D026A9" w:rsidRPr="00E345FB" w:rsidRDefault="00D026A9" w:rsidP="00E345FB">
      <w:pPr>
        <w:pStyle w:val="SAP-Paragraph"/>
        <w:suppressAutoHyphens/>
        <w:spacing w:line="240" w:lineRule="auto"/>
        <w:ind w:firstLine="220"/>
        <w:rPr>
          <w:sz w:val="22"/>
          <w:szCs w:val="22"/>
          <w:lang w:val="en-GB"/>
        </w:rPr>
      </w:pPr>
    </w:p>
    <w:p w:rsidR="000E32C7" w:rsidRPr="00E345FB" w:rsidRDefault="00100B3D" w:rsidP="00E345FB">
      <w:pPr>
        <w:pStyle w:val="SAP-Paragraph"/>
        <w:suppressAutoHyphens/>
        <w:spacing w:line="240" w:lineRule="auto"/>
        <w:ind w:firstLineChars="0" w:firstLine="0"/>
        <w:rPr>
          <w:sz w:val="22"/>
          <w:szCs w:val="22"/>
          <w:lang w:val="en-GB"/>
        </w:rPr>
      </w:pPr>
      <w:r w:rsidRPr="00E345FB">
        <w:rPr>
          <w:sz w:val="22"/>
          <w:szCs w:val="22"/>
          <w:lang w:val="en-GB"/>
        </w:rPr>
        <w:t xml:space="preserve">From the table shown, it can be seen that although some countries </w:t>
      </w:r>
      <w:r w:rsidR="00497C52" w:rsidRPr="00E345FB">
        <w:rPr>
          <w:sz w:val="22"/>
          <w:szCs w:val="22"/>
          <w:lang w:val="en-GB"/>
        </w:rPr>
        <w:t>offer</w:t>
      </w:r>
      <w:r w:rsidRPr="00E345FB">
        <w:rPr>
          <w:sz w:val="22"/>
          <w:szCs w:val="22"/>
          <w:lang w:val="en-GB"/>
        </w:rPr>
        <w:t xml:space="preserve"> a high ranking in the number of publications</w:t>
      </w:r>
      <w:r w:rsidR="00497C52" w:rsidRPr="00E345FB">
        <w:rPr>
          <w:sz w:val="22"/>
          <w:szCs w:val="22"/>
          <w:lang w:val="en-GB"/>
        </w:rPr>
        <w:t>,</w:t>
      </w:r>
      <w:r w:rsidRPr="00E345FB">
        <w:rPr>
          <w:sz w:val="22"/>
          <w:szCs w:val="22"/>
          <w:lang w:val="en-GB"/>
        </w:rPr>
        <w:t xml:space="preserve"> such as China (108 total publications) and Brazil (89 total publications), these countries do not rank highest in the national co-author network map. Although the research activity is </w:t>
      </w:r>
      <w:r w:rsidR="00497C52" w:rsidRPr="00E345FB">
        <w:rPr>
          <w:sz w:val="22"/>
          <w:szCs w:val="22"/>
          <w:lang w:val="en-GB"/>
        </w:rPr>
        <w:t>within</w:t>
      </w:r>
      <w:r w:rsidRPr="00E345FB">
        <w:rPr>
          <w:sz w:val="22"/>
          <w:szCs w:val="22"/>
          <w:lang w:val="en-GB"/>
        </w:rPr>
        <w:t xml:space="preserve"> the scope of the study, it is not followed by high cooperation with other countries.</w:t>
      </w:r>
    </w:p>
    <w:p w:rsidR="00947AD3" w:rsidRDefault="00947AD3" w:rsidP="00E345FB">
      <w:pPr>
        <w:pStyle w:val="SAP-Paragraph"/>
        <w:suppressAutoHyphens/>
        <w:spacing w:line="240" w:lineRule="auto"/>
        <w:ind w:firstLineChars="0" w:firstLine="0"/>
        <w:rPr>
          <w:sz w:val="22"/>
          <w:szCs w:val="22"/>
          <w:lang w:val="en-GB"/>
        </w:rPr>
        <w:sectPr w:rsidR="00947AD3" w:rsidSect="00947AD3">
          <w:type w:val="continuous"/>
          <w:pgSz w:w="11907" w:h="16840" w:code="9"/>
          <w:pgMar w:top="1440" w:right="1440" w:bottom="1440" w:left="1440" w:header="709" w:footer="709" w:gutter="0"/>
          <w:cols w:num="2" w:space="284"/>
          <w:titlePg/>
          <w:docGrid w:linePitch="360"/>
        </w:sectPr>
      </w:pPr>
    </w:p>
    <w:p w:rsidR="000E32C7" w:rsidRPr="00E345FB" w:rsidRDefault="006F31EA" w:rsidP="00E345FB">
      <w:pPr>
        <w:pStyle w:val="SAP-Paragraph"/>
        <w:suppressAutoHyphens/>
        <w:spacing w:line="240" w:lineRule="auto"/>
        <w:ind w:firstLineChars="0" w:firstLine="0"/>
        <w:rPr>
          <w:sz w:val="22"/>
          <w:szCs w:val="22"/>
          <w:lang w:val="en-GB"/>
        </w:rPr>
      </w:pPr>
      <w:r w:rsidRPr="00E345FB">
        <w:rPr>
          <w:noProof/>
          <w:sz w:val="22"/>
          <w:szCs w:val="22"/>
          <w:lang w:val="en-US" w:eastAsia="en-US"/>
        </w:rPr>
        <w:lastRenderedPageBreak/>
        <w:drawing>
          <wp:inline distT="0" distB="0" distL="0" distR="0">
            <wp:extent cx="5732145" cy="3585845"/>
            <wp:effectExtent l="0" t="0" r="190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cstate="print"/>
                    <a:stretch>
                      <a:fillRect/>
                    </a:stretch>
                  </pic:blipFill>
                  <pic:spPr>
                    <a:xfrm>
                      <a:off x="0" y="0"/>
                      <a:ext cx="5732145" cy="3585845"/>
                    </a:xfrm>
                    <a:prstGeom prst="rect">
                      <a:avLst/>
                    </a:prstGeom>
                  </pic:spPr>
                </pic:pic>
              </a:graphicData>
            </a:graphic>
          </wp:inline>
        </w:drawing>
      </w:r>
    </w:p>
    <w:p w:rsidR="000E32C7" w:rsidRPr="00E345FB" w:rsidRDefault="000E32C7" w:rsidP="00E345FB">
      <w:pPr>
        <w:pStyle w:val="SAP-Paragraph"/>
        <w:suppressAutoHyphens/>
        <w:spacing w:line="240" w:lineRule="auto"/>
        <w:ind w:firstLineChars="0" w:firstLine="0"/>
        <w:rPr>
          <w:sz w:val="22"/>
          <w:szCs w:val="22"/>
          <w:lang w:val="en-GB"/>
        </w:rPr>
      </w:pPr>
    </w:p>
    <w:p w:rsidR="006F31EA" w:rsidRPr="00E345FB" w:rsidRDefault="006F31EA" w:rsidP="00E345FB">
      <w:pPr>
        <w:pStyle w:val="SAP-Paragraph"/>
        <w:suppressAutoHyphens/>
        <w:spacing w:line="240" w:lineRule="auto"/>
        <w:ind w:firstLine="221"/>
        <w:jc w:val="center"/>
        <w:rPr>
          <w:sz w:val="22"/>
          <w:szCs w:val="22"/>
          <w:lang w:val="en-GB"/>
        </w:rPr>
      </w:pPr>
      <w:r w:rsidRPr="00E345FB">
        <w:rPr>
          <w:b/>
          <w:bCs/>
          <w:sz w:val="22"/>
          <w:szCs w:val="22"/>
          <w:lang w:val="en-GB"/>
        </w:rPr>
        <w:t>Figure 4</w:t>
      </w:r>
      <w:r w:rsidRPr="00E345FB">
        <w:rPr>
          <w:sz w:val="22"/>
          <w:szCs w:val="22"/>
          <w:lang w:val="en-GB"/>
        </w:rPr>
        <w:t xml:space="preserve">. Network </w:t>
      </w:r>
      <w:r w:rsidR="00497C52" w:rsidRPr="00E345FB">
        <w:rPr>
          <w:sz w:val="22"/>
          <w:szCs w:val="22"/>
          <w:lang w:val="en-GB"/>
        </w:rPr>
        <w:t>visualization</w:t>
      </w:r>
      <w:r w:rsidRPr="00E345FB">
        <w:rPr>
          <w:sz w:val="22"/>
          <w:szCs w:val="22"/>
          <w:lang w:val="en-GB"/>
        </w:rPr>
        <w:t xml:space="preserve"> map of countries publishing on design thinking from 2000 to 2021.</w:t>
      </w: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0E32C7" w:rsidP="00E345FB">
      <w:pPr>
        <w:pStyle w:val="SAP-Paragraph"/>
        <w:suppressAutoHyphens/>
        <w:spacing w:line="240" w:lineRule="auto"/>
        <w:ind w:firstLineChars="0" w:firstLine="0"/>
        <w:rPr>
          <w:sz w:val="22"/>
          <w:szCs w:val="22"/>
          <w:lang w:val="en-GB"/>
        </w:rPr>
      </w:pPr>
    </w:p>
    <w:p w:rsidR="000E32C7" w:rsidRPr="00E345FB" w:rsidRDefault="00D702DD" w:rsidP="00E345FB">
      <w:pPr>
        <w:pStyle w:val="SAP-Paragraph"/>
        <w:suppressAutoHyphens/>
        <w:spacing w:line="240" w:lineRule="auto"/>
        <w:ind w:firstLineChars="0" w:firstLine="0"/>
        <w:jc w:val="center"/>
        <w:rPr>
          <w:sz w:val="22"/>
          <w:szCs w:val="22"/>
          <w:lang w:val="en-GB"/>
        </w:rPr>
      </w:pPr>
      <w:r w:rsidRPr="00E345FB">
        <w:rPr>
          <w:b/>
          <w:bCs/>
          <w:sz w:val="22"/>
          <w:szCs w:val="22"/>
          <w:lang w:val="en-GB"/>
        </w:rPr>
        <w:t>Table 4</w:t>
      </w:r>
      <w:r w:rsidRPr="00E345FB">
        <w:rPr>
          <w:sz w:val="22"/>
          <w:szCs w:val="22"/>
          <w:lang w:val="en-GB"/>
        </w:rPr>
        <w:t xml:space="preserve">. </w:t>
      </w:r>
      <w:r w:rsidR="00497C52" w:rsidRPr="00E345FB">
        <w:rPr>
          <w:sz w:val="22"/>
          <w:szCs w:val="22"/>
          <w:lang w:val="en-GB"/>
        </w:rPr>
        <w:t>The top</w:t>
      </w:r>
      <w:r w:rsidR="00D248F5" w:rsidRPr="00E345FB">
        <w:rPr>
          <w:sz w:val="22"/>
          <w:szCs w:val="22"/>
          <w:lang w:val="en-GB"/>
        </w:rPr>
        <w:t>2</w:t>
      </w:r>
      <w:r w:rsidRPr="00E345FB">
        <w:rPr>
          <w:sz w:val="22"/>
          <w:szCs w:val="22"/>
          <w:lang w:val="en-GB"/>
        </w:rPr>
        <w:t xml:space="preserve">0 countries </w:t>
      </w:r>
      <w:r w:rsidR="00D248F5" w:rsidRPr="00E345FB">
        <w:rPr>
          <w:sz w:val="22"/>
          <w:szCs w:val="22"/>
          <w:lang w:val="en-GB"/>
        </w:rPr>
        <w:t xml:space="preserve">contributed to the </w:t>
      </w:r>
      <w:r w:rsidRPr="00E345FB">
        <w:rPr>
          <w:sz w:val="22"/>
          <w:szCs w:val="22"/>
          <w:lang w:val="en-GB"/>
        </w:rPr>
        <w:t>publi</w:t>
      </w:r>
      <w:r w:rsidR="00D248F5" w:rsidRPr="00E345FB">
        <w:rPr>
          <w:sz w:val="22"/>
          <w:szCs w:val="22"/>
          <w:lang w:val="en-GB"/>
        </w:rPr>
        <w:t>cation</w:t>
      </w:r>
      <w:r w:rsidR="00497C52" w:rsidRPr="00E345FB">
        <w:rPr>
          <w:sz w:val="22"/>
          <w:szCs w:val="22"/>
          <w:lang w:val="en-GB"/>
        </w:rPr>
        <w:t>of</w:t>
      </w:r>
      <w:r w:rsidRPr="00E345FB">
        <w:rPr>
          <w:sz w:val="22"/>
          <w:szCs w:val="22"/>
          <w:lang w:val="en-GB"/>
        </w:rPr>
        <w:t>design thinking research</w:t>
      </w:r>
      <w:r w:rsidR="00D026A9" w:rsidRPr="00E345FB">
        <w:rPr>
          <w:sz w:val="22"/>
          <w:szCs w:val="22"/>
          <w:lang w:val="en-GB"/>
        </w:rPr>
        <w:t>.</w:t>
      </w:r>
    </w:p>
    <w:tbl>
      <w:tblPr>
        <w:tblpPr w:leftFromText="180" w:rightFromText="180" w:vertAnchor="text" w:horzAnchor="margin" w:tblpXSpec="center" w:tblpY="99"/>
        <w:tblW w:w="5024" w:type="pct"/>
        <w:tblBorders>
          <w:top w:val="single" w:sz="4" w:space="0" w:color="auto"/>
          <w:bottom w:val="single" w:sz="4" w:space="0" w:color="auto"/>
        </w:tblBorders>
        <w:tblLook w:val="01E0"/>
      </w:tblPr>
      <w:tblGrid>
        <w:gridCol w:w="1587"/>
        <w:gridCol w:w="240"/>
        <w:gridCol w:w="1585"/>
        <w:gridCol w:w="244"/>
        <w:gridCol w:w="1776"/>
        <w:gridCol w:w="44"/>
        <w:gridCol w:w="991"/>
        <w:gridCol w:w="44"/>
        <w:gridCol w:w="942"/>
        <w:gridCol w:w="36"/>
        <w:gridCol w:w="846"/>
        <w:gridCol w:w="44"/>
        <w:gridCol w:w="869"/>
        <w:gridCol w:w="39"/>
      </w:tblGrid>
      <w:tr w:rsidR="00AE31E5" w:rsidRPr="00E345FB" w:rsidTr="00D248F5">
        <w:trPr>
          <w:gridAfter w:val="1"/>
          <w:wAfter w:w="24" w:type="pct"/>
          <w:tblHeader/>
        </w:trPr>
        <w:tc>
          <w:tcPr>
            <w:tcW w:w="991" w:type="pct"/>
            <w:gridSpan w:val="2"/>
            <w:tcBorders>
              <w:top w:val="single" w:sz="4" w:space="0" w:color="auto"/>
              <w:bottom w:val="single" w:sz="4" w:space="0" w:color="auto"/>
            </w:tcBorders>
          </w:tcPr>
          <w:p w:rsidR="00AE31E5" w:rsidRPr="00E345FB" w:rsidRDefault="00AE31E5" w:rsidP="00E345FB">
            <w:pPr>
              <w:suppressAutoHyphens/>
              <w:jc w:val="both"/>
              <w:rPr>
                <w:b/>
                <w:color w:val="000000"/>
                <w:sz w:val="22"/>
                <w:szCs w:val="22"/>
                <w:lang w:val="en-GB"/>
              </w:rPr>
            </w:pPr>
          </w:p>
          <w:p w:rsidR="00AE31E5" w:rsidRPr="00E345FB" w:rsidRDefault="00AE31E5" w:rsidP="00E345FB">
            <w:pPr>
              <w:suppressAutoHyphens/>
              <w:jc w:val="both"/>
              <w:rPr>
                <w:b/>
                <w:color w:val="000000"/>
                <w:sz w:val="22"/>
                <w:szCs w:val="22"/>
                <w:lang w:val="en-GB"/>
              </w:rPr>
            </w:pPr>
            <w:r w:rsidRPr="00E345FB">
              <w:rPr>
                <w:b/>
                <w:color w:val="000000"/>
                <w:sz w:val="22"/>
                <w:szCs w:val="22"/>
                <w:lang w:val="en-GB"/>
              </w:rPr>
              <w:t>Rank</w:t>
            </w:r>
          </w:p>
        </w:tc>
        <w:tc>
          <w:tcPr>
            <w:tcW w:w="992" w:type="pct"/>
            <w:gridSpan w:val="2"/>
            <w:tcBorders>
              <w:top w:val="single" w:sz="4" w:space="0" w:color="auto"/>
              <w:bottom w:val="single" w:sz="4" w:space="0" w:color="auto"/>
            </w:tcBorders>
            <w:shd w:val="clear" w:color="auto" w:fill="auto"/>
            <w:vAlign w:val="center"/>
          </w:tcPr>
          <w:p w:rsidR="00AE31E5" w:rsidRPr="00E345FB" w:rsidRDefault="00AE31E5" w:rsidP="00E345FB">
            <w:pPr>
              <w:suppressAutoHyphens/>
              <w:jc w:val="both"/>
              <w:rPr>
                <w:b/>
                <w:color w:val="000000"/>
                <w:sz w:val="22"/>
                <w:szCs w:val="22"/>
                <w:lang w:val="en-GB" w:eastAsia="en-US"/>
              </w:rPr>
            </w:pPr>
            <w:r w:rsidRPr="00E345FB">
              <w:rPr>
                <w:b/>
                <w:color w:val="000000"/>
                <w:sz w:val="22"/>
                <w:szCs w:val="22"/>
                <w:lang w:val="en-GB"/>
              </w:rPr>
              <w:t>Country</w:t>
            </w:r>
          </w:p>
        </w:tc>
        <w:tc>
          <w:tcPr>
            <w:tcW w:w="960" w:type="pct"/>
            <w:tcBorders>
              <w:top w:val="single" w:sz="4" w:space="0" w:color="auto"/>
              <w:bottom w:val="single" w:sz="4" w:space="0" w:color="auto"/>
            </w:tcBorders>
            <w:shd w:val="clear" w:color="auto" w:fill="auto"/>
            <w:vAlign w:val="center"/>
          </w:tcPr>
          <w:p w:rsidR="00AE31E5" w:rsidRPr="00E345FB" w:rsidRDefault="00AE31E5" w:rsidP="00E345FB">
            <w:pPr>
              <w:suppressAutoHyphens/>
              <w:jc w:val="both"/>
              <w:rPr>
                <w:b/>
                <w:color w:val="000000"/>
                <w:sz w:val="22"/>
                <w:szCs w:val="22"/>
                <w:lang w:val="en-GB"/>
              </w:rPr>
            </w:pPr>
            <w:r w:rsidRPr="00E345FB">
              <w:rPr>
                <w:b/>
                <w:sz w:val="22"/>
                <w:szCs w:val="22"/>
                <w:lang w:val="en-GB"/>
              </w:rPr>
              <w:t>Total Publication</w:t>
            </w:r>
          </w:p>
        </w:tc>
        <w:tc>
          <w:tcPr>
            <w:tcW w:w="546" w:type="pct"/>
            <w:gridSpan w:val="2"/>
            <w:tcBorders>
              <w:top w:val="single" w:sz="4" w:space="0" w:color="auto"/>
              <w:bottom w:val="single" w:sz="4" w:space="0" w:color="auto"/>
            </w:tcBorders>
            <w:shd w:val="clear" w:color="auto" w:fill="auto"/>
            <w:vAlign w:val="center"/>
          </w:tcPr>
          <w:p w:rsidR="00AE31E5" w:rsidRPr="00E345FB" w:rsidRDefault="00AE31E5" w:rsidP="00E345FB">
            <w:pPr>
              <w:suppressAutoHyphens/>
              <w:jc w:val="both"/>
              <w:rPr>
                <w:b/>
                <w:color w:val="000000"/>
                <w:sz w:val="22"/>
                <w:szCs w:val="22"/>
                <w:lang w:val="en-GB"/>
              </w:rPr>
            </w:pPr>
            <w:r w:rsidRPr="00E345FB">
              <w:rPr>
                <w:b/>
                <w:sz w:val="22"/>
                <w:szCs w:val="22"/>
                <w:lang w:val="en-GB"/>
              </w:rPr>
              <w:t>Total Link Strength</w:t>
            </w:r>
          </w:p>
        </w:tc>
        <w:tc>
          <w:tcPr>
            <w:tcW w:w="525" w:type="pct"/>
            <w:gridSpan w:val="2"/>
            <w:tcBorders>
              <w:top w:val="single" w:sz="4" w:space="0" w:color="auto"/>
              <w:bottom w:val="single" w:sz="4" w:space="0" w:color="auto"/>
            </w:tcBorders>
            <w:vAlign w:val="center"/>
          </w:tcPr>
          <w:p w:rsidR="00AE31E5" w:rsidRPr="00E345FB" w:rsidRDefault="00AE31E5" w:rsidP="00E345FB">
            <w:pPr>
              <w:suppressAutoHyphens/>
              <w:jc w:val="both"/>
              <w:rPr>
                <w:b/>
                <w:sz w:val="22"/>
                <w:szCs w:val="22"/>
                <w:lang w:val="en-GB"/>
              </w:rPr>
            </w:pPr>
            <w:r w:rsidRPr="00E345FB">
              <w:rPr>
                <w:b/>
                <w:sz w:val="22"/>
                <w:szCs w:val="22"/>
                <w:lang w:val="en-GB"/>
              </w:rPr>
              <w:t>Total</w:t>
            </w:r>
          </w:p>
          <w:p w:rsidR="00AE31E5" w:rsidRPr="00E345FB" w:rsidRDefault="00AE31E5" w:rsidP="00E345FB">
            <w:pPr>
              <w:suppressAutoHyphens/>
              <w:jc w:val="both"/>
              <w:rPr>
                <w:b/>
                <w:color w:val="000000"/>
                <w:sz w:val="22"/>
                <w:szCs w:val="22"/>
                <w:lang w:val="en-GB"/>
              </w:rPr>
            </w:pPr>
            <w:r w:rsidRPr="00E345FB">
              <w:rPr>
                <w:b/>
                <w:sz w:val="22"/>
                <w:szCs w:val="22"/>
                <w:lang w:val="en-GB"/>
              </w:rPr>
              <w:t>Citation</w:t>
            </w:r>
          </w:p>
        </w:tc>
        <w:tc>
          <w:tcPr>
            <w:tcW w:w="482" w:type="pct"/>
            <w:gridSpan w:val="2"/>
            <w:tcBorders>
              <w:top w:val="single" w:sz="4" w:space="0" w:color="auto"/>
              <w:bottom w:val="single" w:sz="4" w:space="0" w:color="auto"/>
            </w:tcBorders>
            <w:vAlign w:val="center"/>
          </w:tcPr>
          <w:p w:rsidR="00AE31E5" w:rsidRPr="00E345FB" w:rsidRDefault="00AE31E5" w:rsidP="00E345FB">
            <w:pPr>
              <w:suppressAutoHyphens/>
              <w:jc w:val="both"/>
              <w:rPr>
                <w:b/>
                <w:color w:val="000000"/>
                <w:sz w:val="22"/>
                <w:szCs w:val="22"/>
                <w:lang w:val="en-GB"/>
              </w:rPr>
            </w:pPr>
            <w:r w:rsidRPr="00E345FB">
              <w:rPr>
                <w:b/>
                <w:color w:val="000000"/>
                <w:sz w:val="22"/>
                <w:szCs w:val="22"/>
                <w:lang w:val="en-GB"/>
              </w:rPr>
              <w:t>Link</w:t>
            </w:r>
          </w:p>
        </w:tc>
        <w:tc>
          <w:tcPr>
            <w:tcW w:w="479" w:type="pct"/>
            <w:gridSpan w:val="2"/>
            <w:tcBorders>
              <w:top w:val="single" w:sz="4" w:space="0" w:color="auto"/>
              <w:bottom w:val="single" w:sz="4" w:space="0" w:color="auto"/>
            </w:tcBorders>
            <w:vAlign w:val="center"/>
          </w:tcPr>
          <w:p w:rsidR="00AE31E5" w:rsidRPr="00E345FB" w:rsidRDefault="00AE31E5" w:rsidP="00E345FB">
            <w:pPr>
              <w:suppressAutoHyphens/>
              <w:jc w:val="both"/>
              <w:rPr>
                <w:b/>
                <w:color w:val="000000"/>
                <w:sz w:val="22"/>
                <w:szCs w:val="22"/>
                <w:lang w:val="en-GB"/>
              </w:rPr>
            </w:pPr>
            <w:r w:rsidRPr="00E345FB">
              <w:rPr>
                <w:b/>
                <w:color w:val="000000"/>
                <w:sz w:val="22"/>
                <w:szCs w:val="22"/>
                <w:lang w:val="en-GB"/>
              </w:rPr>
              <w:t>Cluster</w:t>
            </w:r>
          </w:p>
        </w:tc>
      </w:tr>
      <w:tr w:rsidR="00D248F5" w:rsidRPr="00E345FB" w:rsidTr="00D248F5">
        <w:tc>
          <w:tcPr>
            <w:tcW w:w="858" w:type="pct"/>
            <w:tcBorders>
              <w:top w:val="single" w:sz="4" w:space="0" w:color="auto"/>
            </w:tcBorders>
          </w:tcPr>
          <w:p w:rsidR="00D248F5" w:rsidRPr="00E345FB" w:rsidRDefault="00D248F5" w:rsidP="00E345FB">
            <w:pPr>
              <w:suppressAutoHyphens/>
              <w:jc w:val="both"/>
              <w:rPr>
                <w:sz w:val="22"/>
                <w:szCs w:val="22"/>
              </w:rPr>
            </w:pPr>
            <w:r w:rsidRPr="00E345FB">
              <w:rPr>
                <w:sz w:val="22"/>
                <w:szCs w:val="22"/>
              </w:rPr>
              <w:t>1</w:t>
            </w:r>
          </w:p>
        </w:tc>
        <w:tc>
          <w:tcPr>
            <w:tcW w:w="990" w:type="pct"/>
            <w:gridSpan w:val="2"/>
            <w:tcBorders>
              <w:top w:val="single" w:sz="4" w:space="0" w:color="auto"/>
            </w:tcBorders>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United States</w:t>
            </w:r>
          </w:p>
        </w:tc>
        <w:tc>
          <w:tcPr>
            <w:tcW w:w="1118" w:type="pct"/>
            <w:gridSpan w:val="3"/>
            <w:tcBorders>
              <w:top w:val="single" w:sz="4" w:space="0" w:color="auto"/>
            </w:tcBorders>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531</w:t>
            </w:r>
          </w:p>
        </w:tc>
        <w:tc>
          <w:tcPr>
            <w:tcW w:w="546" w:type="pct"/>
            <w:gridSpan w:val="2"/>
            <w:tcBorders>
              <w:top w:val="single" w:sz="4" w:space="0" w:color="auto"/>
            </w:tcBorders>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111</w:t>
            </w:r>
          </w:p>
        </w:tc>
        <w:tc>
          <w:tcPr>
            <w:tcW w:w="525" w:type="pct"/>
            <w:gridSpan w:val="2"/>
            <w:tcBorders>
              <w:top w:val="single" w:sz="4" w:space="0" w:color="auto"/>
            </w:tcBorders>
          </w:tcPr>
          <w:p w:rsidR="00D248F5" w:rsidRPr="00E345FB" w:rsidRDefault="00D248F5" w:rsidP="00E345FB">
            <w:pPr>
              <w:suppressAutoHyphens/>
              <w:jc w:val="both"/>
              <w:rPr>
                <w:color w:val="000000"/>
                <w:sz w:val="22"/>
                <w:szCs w:val="22"/>
                <w:lang w:val="en-GB"/>
              </w:rPr>
            </w:pPr>
            <w:r w:rsidRPr="00E345FB">
              <w:rPr>
                <w:sz w:val="22"/>
                <w:szCs w:val="22"/>
              </w:rPr>
              <w:t>9743</w:t>
            </w:r>
          </w:p>
        </w:tc>
        <w:tc>
          <w:tcPr>
            <w:tcW w:w="482" w:type="pct"/>
            <w:gridSpan w:val="2"/>
            <w:tcBorders>
              <w:top w:val="single" w:sz="4" w:space="0" w:color="auto"/>
            </w:tcBorders>
          </w:tcPr>
          <w:p w:rsidR="00D248F5" w:rsidRPr="00E345FB" w:rsidRDefault="00D248F5" w:rsidP="00E345FB">
            <w:pPr>
              <w:suppressAutoHyphens/>
              <w:jc w:val="both"/>
              <w:rPr>
                <w:color w:val="000000"/>
                <w:sz w:val="22"/>
                <w:szCs w:val="22"/>
                <w:lang w:val="en-GB"/>
              </w:rPr>
            </w:pPr>
            <w:r w:rsidRPr="00E345FB">
              <w:rPr>
                <w:sz w:val="22"/>
                <w:szCs w:val="22"/>
              </w:rPr>
              <w:t>33</w:t>
            </w:r>
          </w:p>
        </w:tc>
        <w:tc>
          <w:tcPr>
            <w:tcW w:w="480" w:type="pct"/>
            <w:gridSpan w:val="2"/>
            <w:tcBorders>
              <w:top w:val="single" w:sz="4" w:space="0" w:color="auto"/>
            </w:tcBorders>
          </w:tcPr>
          <w:p w:rsidR="00D248F5" w:rsidRPr="00E345FB" w:rsidRDefault="00D248F5" w:rsidP="00E345FB">
            <w:pPr>
              <w:suppressAutoHyphens/>
              <w:jc w:val="both"/>
              <w:rPr>
                <w:color w:val="000000"/>
                <w:sz w:val="22"/>
                <w:szCs w:val="22"/>
                <w:lang w:val="en-GB"/>
              </w:rPr>
            </w:pPr>
            <w:r w:rsidRPr="00E345FB">
              <w:rPr>
                <w:sz w:val="22"/>
                <w:szCs w:val="22"/>
              </w:rPr>
              <w:t>9</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2</w:t>
            </w:r>
          </w:p>
        </w:tc>
        <w:tc>
          <w:tcPr>
            <w:tcW w:w="990"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Germany</w:t>
            </w:r>
          </w:p>
        </w:tc>
        <w:tc>
          <w:tcPr>
            <w:tcW w:w="1118" w:type="pct"/>
            <w:gridSpan w:val="3"/>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140</w:t>
            </w:r>
          </w:p>
        </w:tc>
        <w:tc>
          <w:tcPr>
            <w:tcW w:w="546"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49</w:t>
            </w:r>
          </w:p>
        </w:tc>
        <w:tc>
          <w:tcPr>
            <w:tcW w:w="525" w:type="pct"/>
            <w:gridSpan w:val="2"/>
          </w:tcPr>
          <w:p w:rsidR="00D248F5" w:rsidRPr="00E345FB" w:rsidRDefault="00D248F5" w:rsidP="00E345FB">
            <w:pPr>
              <w:suppressAutoHyphens/>
              <w:jc w:val="both"/>
              <w:rPr>
                <w:color w:val="000000"/>
                <w:sz w:val="22"/>
                <w:szCs w:val="22"/>
                <w:lang w:val="en-GB"/>
              </w:rPr>
            </w:pPr>
            <w:r w:rsidRPr="00E345FB">
              <w:rPr>
                <w:sz w:val="22"/>
                <w:szCs w:val="22"/>
              </w:rPr>
              <w:t>877</w:t>
            </w:r>
          </w:p>
        </w:tc>
        <w:tc>
          <w:tcPr>
            <w:tcW w:w="482" w:type="pct"/>
            <w:gridSpan w:val="2"/>
          </w:tcPr>
          <w:p w:rsidR="00D248F5" w:rsidRPr="00E345FB" w:rsidRDefault="00D248F5" w:rsidP="00E345FB">
            <w:pPr>
              <w:suppressAutoHyphens/>
              <w:jc w:val="both"/>
              <w:rPr>
                <w:color w:val="000000"/>
                <w:sz w:val="22"/>
                <w:szCs w:val="22"/>
                <w:lang w:val="en-GB"/>
              </w:rPr>
            </w:pPr>
            <w:r w:rsidRPr="00E345FB">
              <w:rPr>
                <w:sz w:val="22"/>
                <w:szCs w:val="22"/>
              </w:rPr>
              <w:t>20</w:t>
            </w:r>
          </w:p>
        </w:tc>
        <w:tc>
          <w:tcPr>
            <w:tcW w:w="480" w:type="pct"/>
            <w:gridSpan w:val="2"/>
          </w:tcPr>
          <w:p w:rsidR="00D248F5" w:rsidRPr="00E345FB" w:rsidRDefault="00D248F5" w:rsidP="00E345FB">
            <w:pPr>
              <w:suppressAutoHyphens/>
              <w:jc w:val="both"/>
              <w:rPr>
                <w:color w:val="000000"/>
                <w:sz w:val="22"/>
                <w:szCs w:val="22"/>
                <w:lang w:val="en-GB"/>
              </w:rPr>
            </w:pPr>
            <w:r w:rsidRPr="00E345FB">
              <w:rPr>
                <w:sz w:val="22"/>
                <w:szCs w:val="22"/>
              </w:rPr>
              <w:t>5</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3</w:t>
            </w:r>
          </w:p>
        </w:tc>
        <w:tc>
          <w:tcPr>
            <w:tcW w:w="990"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Australia</w:t>
            </w:r>
          </w:p>
        </w:tc>
        <w:tc>
          <w:tcPr>
            <w:tcW w:w="1118" w:type="pct"/>
            <w:gridSpan w:val="3"/>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115</w:t>
            </w:r>
          </w:p>
        </w:tc>
        <w:tc>
          <w:tcPr>
            <w:tcW w:w="546"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44</w:t>
            </w:r>
          </w:p>
        </w:tc>
        <w:tc>
          <w:tcPr>
            <w:tcW w:w="525" w:type="pct"/>
            <w:gridSpan w:val="2"/>
          </w:tcPr>
          <w:p w:rsidR="00D248F5" w:rsidRPr="00E345FB" w:rsidRDefault="00D248F5" w:rsidP="00E345FB">
            <w:pPr>
              <w:suppressAutoHyphens/>
              <w:jc w:val="both"/>
              <w:rPr>
                <w:color w:val="000000"/>
                <w:sz w:val="22"/>
                <w:szCs w:val="22"/>
                <w:lang w:val="en-GB"/>
              </w:rPr>
            </w:pPr>
            <w:r w:rsidRPr="00E345FB">
              <w:rPr>
                <w:sz w:val="22"/>
                <w:szCs w:val="22"/>
              </w:rPr>
              <w:t>1929</w:t>
            </w:r>
          </w:p>
        </w:tc>
        <w:tc>
          <w:tcPr>
            <w:tcW w:w="482" w:type="pct"/>
            <w:gridSpan w:val="2"/>
          </w:tcPr>
          <w:p w:rsidR="00D248F5" w:rsidRPr="00E345FB" w:rsidRDefault="00D248F5" w:rsidP="00E345FB">
            <w:pPr>
              <w:suppressAutoHyphens/>
              <w:jc w:val="both"/>
              <w:rPr>
                <w:color w:val="000000"/>
                <w:sz w:val="22"/>
                <w:szCs w:val="22"/>
                <w:lang w:val="en-GB"/>
              </w:rPr>
            </w:pPr>
            <w:r w:rsidRPr="00E345FB">
              <w:rPr>
                <w:sz w:val="22"/>
                <w:szCs w:val="22"/>
              </w:rPr>
              <w:t>26</w:t>
            </w:r>
          </w:p>
        </w:tc>
        <w:tc>
          <w:tcPr>
            <w:tcW w:w="480" w:type="pct"/>
            <w:gridSpan w:val="2"/>
          </w:tcPr>
          <w:p w:rsidR="00D248F5" w:rsidRPr="00E345FB" w:rsidRDefault="00D248F5" w:rsidP="00E345FB">
            <w:pPr>
              <w:suppressAutoHyphens/>
              <w:jc w:val="both"/>
              <w:rPr>
                <w:color w:val="000000"/>
                <w:sz w:val="22"/>
                <w:szCs w:val="22"/>
                <w:lang w:val="en-GB"/>
              </w:rPr>
            </w:pPr>
            <w:r w:rsidRPr="00E345FB">
              <w:rPr>
                <w:sz w:val="22"/>
                <w:szCs w:val="22"/>
              </w:rPr>
              <w:t>8</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4</w:t>
            </w:r>
          </w:p>
        </w:tc>
        <w:tc>
          <w:tcPr>
            <w:tcW w:w="990"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China</w:t>
            </w:r>
          </w:p>
        </w:tc>
        <w:tc>
          <w:tcPr>
            <w:tcW w:w="1118" w:type="pct"/>
            <w:gridSpan w:val="3"/>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108</w:t>
            </w:r>
          </w:p>
        </w:tc>
        <w:tc>
          <w:tcPr>
            <w:tcW w:w="546"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22</w:t>
            </w:r>
          </w:p>
        </w:tc>
        <w:tc>
          <w:tcPr>
            <w:tcW w:w="525" w:type="pct"/>
            <w:gridSpan w:val="2"/>
          </w:tcPr>
          <w:p w:rsidR="00D248F5" w:rsidRPr="00E345FB" w:rsidRDefault="00D248F5" w:rsidP="00E345FB">
            <w:pPr>
              <w:suppressAutoHyphens/>
              <w:jc w:val="both"/>
              <w:rPr>
                <w:color w:val="000000"/>
                <w:sz w:val="22"/>
                <w:szCs w:val="22"/>
                <w:lang w:val="en-GB"/>
              </w:rPr>
            </w:pPr>
            <w:r w:rsidRPr="00E345FB">
              <w:rPr>
                <w:sz w:val="22"/>
                <w:szCs w:val="22"/>
              </w:rPr>
              <w:t>305</w:t>
            </w:r>
          </w:p>
        </w:tc>
        <w:tc>
          <w:tcPr>
            <w:tcW w:w="482" w:type="pct"/>
            <w:gridSpan w:val="2"/>
          </w:tcPr>
          <w:p w:rsidR="00D248F5" w:rsidRPr="00E345FB" w:rsidRDefault="00D248F5" w:rsidP="00E345FB">
            <w:pPr>
              <w:suppressAutoHyphens/>
              <w:jc w:val="both"/>
              <w:rPr>
                <w:color w:val="000000"/>
                <w:sz w:val="22"/>
                <w:szCs w:val="22"/>
                <w:lang w:val="en-GB"/>
              </w:rPr>
            </w:pPr>
            <w:r w:rsidRPr="00E345FB">
              <w:rPr>
                <w:sz w:val="22"/>
                <w:szCs w:val="22"/>
              </w:rPr>
              <w:t>13</w:t>
            </w:r>
          </w:p>
        </w:tc>
        <w:tc>
          <w:tcPr>
            <w:tcW w:w="480" w:type="pct"/>
            <w:gridSpan w:val="2"/>
          </w:tcPr>
          <w:p w:rsidR="00D248F5" w:rsidRPr="00E345FB" w:rsidRDefault="00D248F5" w:rsidP="00E345FB">
            <w:pPr>
              <w:suppressAutoHyphens/>
              <w:jc w:val="both"/>
              <w:rPr>
                <w:color w:val="000000"/>
                <w:sz w:val="22"/>
                <w:szCs w:val="22"/>
                <w:lang w:val="en-GB"/>
              </w:rPr>
            </w:pPr>
            <w:r w:rsidRPr="00E345FB">
              <w:rPr>
                <w:sz w:val="22"/>
                <w:szCs w:val="22"/>
              </w:rPr>
              <w:t>10</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5</w:t>
            </w:r>
          </w:p>
        </w:tc>
        <w:tc>
          <w:tcPr>
            <w:tcW w:w="990"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United Kingdom</w:t>
            </w:r>
          </w:p>
        </w:tc>
        <w:tc>
          <w:tcPr>
            <w:tcW w:w="1118" w:type="pct"/>
            <w:gridSpan w:val="3"/>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105</w:t>
            </w:r>
          </w:p>
        </w:tc>
        <w:tc>
          <w:tcPr>
            <w:tcW w:w="546"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49</w:t>
            </w:r>
          </w:p>
        </w:tc>
        <w:tc>
          <w:tcPr>
            <w:tcW w:w="525" w:type="pct"/>
            <w:gridSpan w:val="2"/>
          </w:tcPr>
          <w:p w:rsidR="00D248F5" w:rsidRPr="00E345FB" w:rsidRDefault="00D248F5" w:rsidP="00E345FB">
            <w:pPr>
              <w:suppressAutoHyphens/>
              <w:jc w:val="both"/>
              <w:rPr>
                <w:color w:val="000000"/>
                <w:sz w:val="22"/>
                <w:szCs w:val="22"/>
                <w:lang w:val="en-GB"/>
              </w:rPr>
            </w:pPr>
            <w:r w:rsidRPr="00E345FB">
              <w:rPr>
                <w:sz w:val="22"/>
                <w:szCs w:val="22"/>
              </w:rPr>
              <w:t>1672</w:t>
            </w:r>
          </w:p>
        </w:tc>
        <w:tc>
          <w:tcPr>
            <w:tcW w:w="482" w:type="pct"/>
            <w:gridSpan w:val="2"/>
          </w:tcPr>
          <w:p w:rsidR="00D248F5" w:rsidRPr="00E345FB" w:rsidRDefault="00D248F5" w:rsidP="00E345FB">
            <w:pPr>
              <w:suppressAutoHyphens/>
              <w:jc w:val="both"/>
              <w:rPr>
                <w:color w:val="000000"/>
                <w:sz w:val="22"/>
                <w:szCs w:val="22"/>
                <w:lang w:val="en-GB"/>
              </w:rPr>
            </w:pPr>
            <w:r w:rsidRPr="00E345FB">
              <w:rPr>
                <w:sz w:val="22"/>
                <w:szCs w:val="22"/>
              </w:rPr>
              <w:t>25</w:t>
            </w:r>
          </w:p>
        </w:tc>
        <w:tc>
          <w:tcPr>
            <w:tcW w:w="480" w:type="pct"/>
            <w:gridSpan w:val="2"/>
          </w:tcPr>
          <w:p w:rsidR="00D248F5" w:rsidRPr="00E345FB" w:rsidRDefault="00D248F5" w:rsidP="00E345FB">
            <w:pPr>
              <w:suppressAutoHyphens/>
              <w:jc w:val="both"/>
              <w:rPr>
                <w:color w:val="000000"/>
                <w:sz w:val="22"/>
                <w:szCs w:val="22"/>
                <w:lang w:val="en-GB"/>
              </w:rPr>
            </w:pPr>
            <w:r w:rsidRPr="00E345FB">
              <w:rPr>
                <w:sz w:val="22"/>
                <w:szCs w:val="22"/>
              </w:rPr>
              <w:t>2</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6</w:t>
            </w:r>
          </w:p>
        </w:tc>
        <w:tc>
          <w:tcPr>
            <w:tcW w:w="990"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Brazil</w:t>
            </w:r>
          </w:p>
        </w:tc>
        <w:tc>
          <w:tcPr>
            <w:tcW w:w="1118" w:type="pct"/>
            <w:gridSpan w:val="3"/>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89</w:t>
            </w:r>
          </w:p>
        </w:tc>
        <w:tc>
          <w:tcPr>
            <w:tcW w:w="546"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12</w:t>
            </w:r>
          </w:p>
        </w:tc>
        <w:tc>
          <w:tcPr>
            <w:tcW w:w="525" w:type="pct"/>
            <w:gridSpan w:val="2"/>
          </w:tcPr>
          <w:p w:rsidR="00D248F5" w:rsidRPr="00E345FB" w:rsidRDefault="00D248F5" w:rsidP="00E345FB">
            <w:pPr>
              <w:suppressAutoHyphens/>
              <w:jc w:val="both"/>
              <w:rPr>
                <w:color w:val="000000"/>
                <w:sz w:val="22"/>
                <w:szCs w:val="22"/>
                <w:lang w:val="en-GB"/>
              </w:rPr>
            </w:pPr>
            <w:r w:rsidRPr="00E345FB">
              <w:rPr>
                <w:sz w:val="22"/>
                <w:szCs w:val="22"/>
              </w:rPr>
              <w:t>326</w:t>
            </w:r>
          </w:p>
        </w:tc>
        <w:tc>
          <w:tcPr>
            <w:tcW w:w="482" w:type="pct"/>
            <w:gridSpan w:val="2"/>
          </w:tcPr>
          <w:p w:rsidR="00D248F5" w:rsidRPr="00E345FB" w:rsidRDefault="00D248F5" w:rsidP="00E345FB">
            <w:pPr>
              <w:suppressAutoHyphens/>
              <w:jc w:val="both"/>
              <w:rPr>
                <w:color w:val="000000"/>
                <w:sz w:val="22"/>
                <w:szCs w:val="22"/>
                <w:lang w:val="en-GB"/>
              </w:rPr>
            </w:pPr>
            <w:r w:rsidRPr="00E345FB">
              <w:rPr>
                <w:sz w:val="22"/>
                <w:szCs w:val="22"/>
              </w:rPr>
              <w:t>8</w:t>
            </w:r>
          </w:p>
        </w:tc>
        <w:tc>
          <w:tcPr>
            <w:tcW w:w="480" w:type="pct"/>
            <w:gridSpan w:val="2"/>
          </w:tcPr>
          <w:p w:rsidR="00D248F5" w:rsidRPr="00E345FB" w:rsidRDefault="00D248F5" w:rsidP="00E345FB">
            <w:pPr>
              <w:suppressAutoHyphens/>
              <w:jc w:val="both"/>
              <w:rPr>
                <w:color w:val="000000"/>
                <w:sz w:val="22"/>
                <w:szCs w:val="22"/>
                <w:lang w:val="en-GB"/>
              </w:rPr>
            </w:pPr>
            <w:r w:rsidRPr="00E345FB">
              <w:rPr>
                <w:sz w:val="22"/>
                <w:szCs w:val="22"/>
              </w:rPr>
              <w:t>6</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7</w:t>
            </w:r>
          </w:p>
        </w:tc>
        <w:tc>
          <w:tcPr>
            <w:tcW w:w="990"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Taiwan</w:t>
            </w:r>
          </w:p>
        </w:tc>
        <w:tc>
          <w:tcPr>
            <w:tcW w:w="1118" w:type="pct"/>
            <w:gridSpan w:val="3"/>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74</w:t>
            </w:r>
          </w:p>
        </w:tc>
        <w:tc>
          <w:tcPr>
            <w:tcW w:w="546"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18</w:t>
            </w:r>
          </w:p>
        </w:tc>
        <w:tc>
          <w:tcPr>
            <w:tcW w:w="525" w:type="pct"/>
            <w:gridSpan w:val="2"/>
          </w:tcPr>
          <w:p w:rsidR="00D248F5" w:rsidRPr="00E345FB" w:rsidRDefault="00D248F5" w:rsidP="00E345FB">
            <w:pPr>
              <w:suppressAutoHyphens/>
              <w:jc w:val="both"/>
              <w:rPr>
                <w:color w:val="000000"/>
                <w:sz w:val="22"/>
                <w:szCs w:val="22"/>
                <w:lang w:val="en-GB"/>
              </w:rPr>
            </w:pPr>
            <w:r w:rsidRPr="00E345FB">
              <w:rPr>
                <w:sz w:val="22"/>
                <w:szCs w:val="22"/>
              </w:rPr>
              <w:t>500</w:t>
            </w:r>
          </w:p>
        </w:tc>
        <w:tc>
          <w:tcPr>
            <w:tcW w:w="482" w:type="pct"/>
            <w:gridSpan w:val="2"/>
          </w:tcPr>
          <w:p w:rsidR="00D248F5" w:rsidRPr="00E345FB" w:rsidRDefault="00D248F5" w:rsidP="00E345FB">
            <w:pPr>
              <w:suppressAutoHyphens/>
              <w:jc w:val="both"/>
              <w:rPr>
                <w:color w:val="000000"/>
                <w:sz w:val="22"/>
                <w:szCs w:val="22"/>
                <w:lang w:val="en-GB"/>
              </w:rPr>
            </w:pPr>
            <w:r w:rsidRPr="00E345FB">
              <w:rPr>
                <w:sz w:val="22"/>
                <w:szCs w:val="22"/>
              </w:rPr>
              <w:t>8</w:t>
            </w:r>
          </w:p>
        </w:tc>
        <w:tc>
          <w:tcPr>
            <w:tcW w:w="480" w:type="pct"/>
            <w:gridSpan w:val="2"/>
          </w:tcPr>
          <w:p w:rsidR="00D248F5" w:rsidRPr="00E345FB" w:rsidRDefault="00D248F5" w:rsidP="00E345FB">
            <w:pPr>
              <w:suppressAutoHyphens/>
              <w:jc w:val="both"/>
              <w:rPr>
                <w:color w:val="000000"/>
                <w:sz w:val="22"/>
                <w:szCs w:val="22"/>
                <w:lang w:val="en-GB"/>
              </w:rPr>
            </w:pPr>
            <w:r w:rsidRPr="00E345FB">
              <w:rPr>
                <w:sz w:val="22"/>
                <w:szCs w:val="22"/>
              </w:rPr>
              <w:t>10</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lastRenderedPageBreak/>
              <w:t>8</w:t>
            </w:r>
          </w:p>
        </w:tc>
        <w:tc>
          <w:tcPr>
            <w:tcW w:w="990"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India</w:t>
            </w:r>
          </w:p>
        </w:tc>
        <w:tc>
          <w:tcPr>
            <w:tcW w:w="1118" w:type="pct"/>
            <w:gridSpan w:val="3"/>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72</w:t>
            </w:r>
          </w:p>
        </w:tc>
        <w:tc>
          <w:tcPr>
            <w:tcW w:w="546"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10</w:t>
            </w:r>
          </w:p>
        </w:tc>
        <w:tc>
          <w:tcPr>
            <w:tcW w:w="525" w:type="pct"/>
            <w:gridSpan w:val="2"/>
          </w:tcPr>
          <w:p w:rsidR="00D248F5" w:rsidRPr="00E345FB" w:rsidRDefault="00D248F5" w:rsidP="00E345FB">
            <w:pPr>
              <w:suppressAutoHyphens/>
              <w:jc w:val="both"/>
              <w:rPr>
                <w:color w:val="000000"/>
                <w:sz w:val="22"/>
                <w:szCs w:val="22"/>
                <w:lang w:val="en-GB"/>
              </w:rPr>
            </w:pPr>
            <w:r w:rsidRPr="00E345FB">
              <w:rPr>
                <w:sz w:val="22"/>
                <w:szCs w:val="22"/>
              </w:rPr>
              <w:t>178</w:t>
            </w:r>
          </w:p>
        </w:tc>
        <w:tc>
          <w:tcPr>
            <w:tcW w:w="482" w:type="pct"/>
            <w:gridSpan w:val="2"/>
          </w:tcPr>
          <w:p w:rsidR="00D248F5" w:rsidRPr="00E345FB" w:rsidRDefault="00D248F5" w:rsidP="00E345FB">
            <w:pPr>
              <w:suppressAutoHyphens/>
              <w:jc w:val="both"/>
              <w:rPr>
                <w:color w:val="000000"/>
                <w:sz w:val="22"/>
                <w:szCs w:val="22"/>
                <w:lang w:val="en-GB"/>
              </w:rPr>
            </w:pPr>
            <w:r w:rsidRPr="00E345FB">
              <w:rPr>
                <w:sz w:val="22"/>
                <w:szCs w:val="22"/>
              </w:rPr>
              <w:t>9</w:t>
            </w:r>
          </w:p>
        </w:tc>
        <w:tc>
          <w:tcPr>
            <w:tcW w:w="480" w:type="pct"/>
            <w:gridSpan w:val="2"/>
          </w:tcPr>
          <w:p w:rsidR="00D248F5" w:rsidRPr="00E345FB" w:rsidRDefault="00D248F5" w:rsidP="00E345FB">
            <w:pPr>
              <w:suppressAutoHyphens/>
              <w:jc w:val="both"/>
              <w:rPr>
                <w:color w:val="000000"/>
                <w:sz w:val="22"/>
                <w:szCs w:val="22"/>
                <w:lang w:val="en-GB"/>
              </w:rPr>
            </w:pPr>
            <w:r w:rsidRPr="00E345FB">
              <w:rPr>
                <w:sz w:val="22"/>
                <w:szCs w:val="22"/>
              </w:rPr>
              <w:t>4</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9</w:t>
            </w:r>
          </w:p>
        </w:tc>
        <w:tc>
          <w:tcPr>
            <w:tcW w:w="990"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Canada</w:t>
            </w:r>
          </w:p>
        </w:tc>
        <w:tc>
          <w:tcPr>
            <w:tcW w:w="1118" w:type="pct"/>
            <w:gridSpan w:val="3"/>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67</w:t>
            </w:r>
          </w:p>
        </w:tc>
        <w:tc>
          <w:tcPr>
            <w:tcW w:w="546"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29</w:t>
            </w:r>
          </w:p>
        </w:tc>
        <w:tc>
          <w:tcPr>
            <w:tcW w:w="525" w:type="pct"/>
            <w:gridSpan w:val="2"/>
          </w:tcPr>
          <w:p w:rsidR="00D248F5" w:rsidRPr="00E345FB" w:rsidRDefault="00D248F5" w:rsidP="00E345FB">
            <w:pPr>
              <w:suppressAutoHyphens/>
              <w:jc w:val="both"/>
              <w:rPr>
                <w:color w:val="000000"/>
                <w:sz w:val="22"/>
                <w:szCs w:val="22"/>
                <w:lang w:val="en-GB"/>
              </w:rPr>
            </w:pPr>
            <w:r w:rsidRPr="00E345FB">
              <w:rPr>
                <w:sz w:val="22"/>
                <w:szCs w:val="22"/>
              </w:rPr>
              <w:t>1117</w:t>
            </w:r>
          </w:p>
        </w:tc>
        <w:tc>
          <w:tcPr>
            <w:tcW w:w="482" w:type="pct"/>
            <w:gridSpan w:val="2"/>
          </w:tcPr>
          <w:p w:rsidR="00D248F5" w:rsidRPr="00E345FB" w:rsidRDefault="00D248F5" w:rsidP="00E345FB">
            <w:pPr>
              <w:suppressAutoHyphens/>
              <w:jc w:val="both"/>
              <w:rPr>
                <w:color w:val="000000"/>
                <w:sz w:val="22"/>
                <w:szCs w:val="22"/>
                <w:lang w:val="en-GB"/>
              </w:rPr>
            </w:pPr>
            <w:r w:rsidRPr="00E345FB">
              <w:rPr>
                <w:sz w:val="22"/>
                <w:szCs w:val="22"/>
              </w:rPr>
              <w:t>20</w:t>
            </w:r>
          </w:p>
        </w:tc>
        <w:tc>
          <w:tcPr>
            <w:tcW w:w="480" w:type="pct"/>
            <w:gridSpan w:val="2"/>
          </w:tcPr>
          <w:p w:rsidR="00D248F5" w:rsidRPr="00E345FB" w:rsidRDefault="00D248F5" w:rsidP="00E345FB">
            <w:pPr>
              <w:suppressAutoHyphens/>
              <w:jc w:val="both"/>
              <w:rPr>
                <w:color w:val="000000"/>
                <w:sz w:val="22"/>
                <w:szCs w:val="22"/>
                <w:lang w:val="en-GB"/>
              </w:rPr>
            </w:pPr>
            <w:r w:rsidRPr="00E345FB">
              <w:rPr>
                <w:sz w:val="22"/>
                <w:szCs w:val="22"/>
              </w:rPr>
              <w:t>11</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10</w:t>
            </w:r>
          </w:p>
        </w:tc>
        <w:tc>
          <w:tcPr>
            <w:tcW w:w="990"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Italy</w:t>
            </w:r>
          </w:p>
        </w:tc>
        <w:tc>
          <w:tcPr>
            <w:tcW w:w="1118" w:type="pct"/>
            <w:gridSpan w:val="3"/>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49</w:t>
            </w:r>
          </w:p>
        </w:tc>
        <w:tc>
          <w:tcPr>
            <w:tcW w:w="546" w:type="pct"/>
            <w:gridSpan w:val="2"/>
            <w:shd w:val="clear" w:color="auto" w:fill="auto"/>
          </w:tcPr>
          <w:p w:rsidR="00D248F5" w:rsidRPr="00E345FB" w:rsidRDefault="00D248F5" w:rsidP="00E345FB">
            <w:pPr>
              <w:suppressAutoHyphens/>
              <w:jc w:val="both"/>
              <w:rPr>
                <w:color w:val="000000"/>
                <w:sz w:val="22"/>
                <w:szCs w:val="22"/>
                <w:lang w:val="en-GB"/>
              </w:rPr>
            </w:pPr>
            <w:r w:rsidRPr="00E345FB">
              <w:rPr>
                <w:sz w:val="22"/>
                <w:szCs w:val="22"/>
              </w:rPr>
              <w:t>20</w:t>
            </w:r>
          </w:p>
        </w:tc>
        <w:tc>
          <w:tcPr>
            <w:tcW w:w="525" w:type="pct"/>
            <w:gridSpan w:val="2"/>
          </w:tcPr>
          <w:p w:rsidR="00D248F5" w:rsidRPr="00E345FB" w:rsidRDefault="00D248F5" w:rsidP="00E345FB">
            <w:pPr>
              <w:suppressAutoHyphens/>
              <w:jc w:val="both"/>
              <w:rPr>
                <w:color w:val="000000"/>
                <w:sz w:val="22"/>
                <w:szCs w:val="22"/>
                <w:lang w:val="en-GB"/>
              </w:rPr>
            </w:pPr>
            <w:r w:rsidRPr="00E345FB">
              <w:rPr>
                <w:sz w:val="22"/>
                <w:szCs w:val="22"/>
              </w:rPr>
              <w:t>354</w:t>
            </w:r>
          </w:p>
        </w:tc>
        <w:tc>
          <w:tcPr>
            <w:tcW w:w="482" w:type="pct"/>
            <w:gridSpan w:val="2"/>
          </w:tcPr>
          <w:p w:rsidR="00D248F5" w:rsidRPr="00E345FB" w:rsidRDefault="00D248F5" w:rsidP="00E345FB">
            <w:pPr>
              <w:suppressAutoHyphens/>
              <w:jc w:val="both"/>
              <w:rPr>
                <w:color w:val="000000"/>
                <w:sz w:val="22"/>
                <w:szCs w:val="22"/>
                <w:lang w:val="en-GB"/>
              </w:rPr>
            </w:pPr>
            <w:r w:rsidRPr="00E345FB">
              <w:rPr>
                <w:sz w:val="22"/>
                <w:szCs w:val="22"/>
              </w:rPr>
              <w:t>21</w:t>
            </w:r>
          </w:p>
        </w:tc>
        <w:tc>
          <w:tcPr>
            <w:tcW w:w="480" w:type="pct"/>
            <w:gridSpan w:val="2"/>
          </w:tcPr>
          <w:p w:rsidR="00D248F5" w:rsidRPr="00E345FB" w:rsidRDefault="00D248F5" w:rsidP="00E345FB">
            <w:pPr>
              <w:suppressAutoHyphens/>
              <w:jc w:val="both"/>
              <w:rPr>
                <w:color w:val="000000"/>
                <w:sz w:val="22"/>
                <w:szCs w:val="22"/>
                <w:lang w:val="en-GB"/>
              </w:rPr>
            </w:pPr>
            <w:r w:rsidRPr="00E345FB">
              <w:rPr>
                <w:sz w:val="22"/>
                <w:szCs w:val="22"/>
              </w:rPr>
              <w:t>6</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11</w:t>
            </w:r>
          </w:p>
        </w:tc>
        <w:tc>
          <w:tcPr>
            <w:tcW w:w="990" w:type="pct"/>
            <w:gridSpan w:val="2"/>
            <w:shd w:val="clear" w:color="auto" w:fill="auto"/>
          </w:tcPr>
          <w:p w:rsidR="00D248F5" w:rsidRPr="00E345FB" w:rsidRDefault="00D248F5" w:rsidP="00E345FB">
            <w:pPr>
              <w:suppressAutoHyphens/>
              <w:jc w:val="both"/>
              <w:rPr>
                <w:sz w:val="22"/>
                <w:szCs w:val="22"/>
              </w:rPr>
            </w:pPr>
            <w:r w:rsidRPr="00E345FB">
              <w:rPr>
                <w:sz w:val="22"/>
                <w:szCs w:val="22"/>
              </w:rPr>
              <w:t>Japan</w:t>
            </w:r>
          </w:p>
        </w:tc>
        <w:tc>
          <w:tcPr>
            <w:tcW w:w="1118" w:type="pct"/>
            <w:gridSpan w:val="3"/>
            <w:shd w:val="clear" w:color="auto" w:fill="auto"/>
          </w:tcPr>
          <w:p w:rsidR="00D248F5" w:rsidRPr="00E345FB" w:rsidRDefault="00D248F5" w:rsidP="00E345FB">
            <w:pPr>
              <w:suppressAutoHyphens/>
              <w:jc w:val="both"/>
              <w:rPr>
                <w:sz w:val="22"/>
                <w:szCs w:val="22"/>
              </w:rPr>
            </w:pPr>
            <w:r w:rsidRPr="00E345FB">
              <w:rPr>
                <w:sz w:val="22"/>
                <w:szCs w:val="22"/>
              </w:rPr>
              <w:t>49</w:t>
            </w:r>
          </w:p>
        </w:tc>
        <w:tc>
          <w:tcPr>
            <w:tcW w:w="546" w:type="pct"/>
            <w:gridSpan w:val="2"/>
            <w:shd w:val="clear" w:color="auto" w:fill="auto"/>
          </w:tcPr>
          <w:p w:rsidR="00D248F5" w:rsidRPr="00E345FB" w:rsidRDefault="00D248F5" w:rsidP="00E345FB">
            <w:pPr>
              <w:suppressAutoHyphens/>
              <w:jc w:val="both"/>
              <w:rPr>
                <w:sz w:val="22"/>
                <w:szCs w:val="22"/>
              </w:rPr>
            </w:pPr>
            <w:r w:rsidRPr="00E345FB">
              <w:rPr>
                <w:sz w:val="22"/>
                <w:szCs w:val="22"/>
              </w:rPr>
              <w:t>17</w:t>
            </w:r>
          </w:p>
        </w:tc>
        <w:tc>
          <w:tcPr>
            <w:tcW w:w="525" w:type="pct"/>
            <w:gridSpan w:val="2"/>
          </w:tcPr>
          <w:p w:rsidR="00D248F5" w:rsidRPr="00E345FB" w:rsidRDefault="00D248F5" w:rsidP="00E345FB">
            <w:pPr>
              <w:suppressAutoHyphens/>
              <w:jc w:val="both"/>
              <w:rPr>
                <w:sz w:val="22"/>
                <w:szCs w:val="22"/>
              </w:rPr>
            </w:pPr>
            <w:r w:rsidRPr="00E345FB">
              <w:rPr>
                <w:sz w:val="22"/>
                <w:szCs w:val="22"/>
              </w:rPr>
              <w:t>198</w:t>
            </w:r>
          </w:p>
        </w:tc>
        <w:tc>
          <w:tcPr>
            <w:tcW w:w="482" w:type="pct"/>
            <w:gridSpan w:val="2"/>
          </w:tcPr>
          <w:p w:rsidR="00D248F5" w:rsidRPr="00E345FB" w:rsidRDefault="00D248F5" w:rsidP="00E345FB">
            <w:pPr>
              <w:suppressAutoHyphens/>
              <w:jc w:val="both"/>
              <w:rPr>
                <w:sz w:val="22"/>
                <w:szCs w:val="22"/>
              </w:rPr>
            </w:pPr>
            <w:r w:rsidRPr="00E345FB">
              <w:rPr>
                <w:sz w:val="22"/>
                <w:szCs w:val="22"/>
              </w:rPr>
              <w:t>20</w:t>
            </w:r>
          </w:p>
        </w:tc>
        <w:tc>
          <w:tcPr>
            <w:tcW w:w="480" w:type="pct"/>
            <w:gridSpan w:val="2"/>
          </w:tcPr>
          <w:p w:rsidR="00D248F5" w:rsidRPr="00E345FB" w:rsidRDefault="00D248F5" w:rsidP="00E345FB">
            <w:pPr>
              <w:suppressAutoHyphens/>
              <w:jc w:val="both"/>
              <w:rPr>
                <w:sz w:val="22"/>
                <w:szCs w:val="22"/>
              </w:rPr>
            </w:pPr>
            <w:r w:rsidRPr="00E345FB">
              <w:rPr>
                <w:sz w:val="22"/>
                <w:szCs w:val="22"/>
              </w:rPr>
              <w:t>7</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12</w:t>
            </w:r>
          </w:p>
        </w:tc>
        <w:tc>
          <w:tcPr>
            <w:tcW w:w="990" w:type="pct"/>
            <w:gridSpan w:val="2"/>
            <w:shd w:val="clear" w:color="auto" w:fill="auto"/>
          </w:tcPr>
          <w:p w:rsidR="00D248F5" w:rsidRPr="00E345FB" w:rsidRDefault="00D248F5" w:rsidP="00E345FB">
            <w:pPr>
              <w:suppressAutoHyphens/>
              <w:jc w:val="both"/>
              <w:rPr>
                <w:sz w:val="22"/>
                <w:szCs w:val="22"/>
              </w:rPr>
            </w:pPr>
            <w:r w:rsidRPr="00E345FB">
              <w:rPr>
                <w:sz w:val="22"/>
                <w:szCs w:val="22"/>
              </w:rPr>
              <w:t>Netherlands</w:t>
            </w:r>
          </w:p>
        </w:tc>
        <w:tc>
          <w:tcPr>
            <w:tcW w:w="1118" w:type="pct"/>
            <w:gridSpan w:val="3"/>
            <w:shd w:val="clear" w:color="auto" w:fill="auto"/>
          </w:tcPr>
          <w:p w:rsidR="00D248F5" w:rsidRPr="00E345FB" w:rsidRDefault="00D248F5" w:rsidP="00E345FB">
            <w:pPr>
              <w:suppressAutoHyphens/>
              <w:jc w:val="both"/>
              <w:rPr>
                <w:sz w:val="22"/>
                <w:szCs w:val="22"/>
              </w:rPr>
            </w:pPr>
            <w:r w:rsidRPr="00E345FB">
              <w:rPr>
                <w:sz w:val="22"/>
                <w:szCs w:val="22"/>
              </w:rPr>
              <w:t>47</w:t>
            </w:r>
          </w:p>
        </w:tc>
        <w:tc>
          <w:tcPr>
            <w:tcW w:w="546" w:type="pct"/>
            <w:gridSpan w:val="2"/>
            <w:shd w:val="clear" w:color="auto" w:fill="auto"/>
          </w:tcPr>
          <w:p w:rsidR="00D248F5" w:rsidRPr="00E345FB" w:rsidRDefault="00D248F5" w:rsidP="00E345FB">
            <w:pPr>
              <w:suppressAutoHyphens/>
              <w:jc w:val="both"/>
              <w:rPr>
                <w:sz w:val="22"/>
                <w:szCs w:val="22"/>
              </w:rPr>
            </w:pPr>
            <w:r w:rsidRPr="00E345FB">
              <w:rPr>
                <w:sz w:val="22"/>
                <w:szCs w:val="22"/>
              </w:rPr>
              <w:t>24</w:t>
            </w:r>
          </w:p>
        </w:tc>
        <w:tc>
          <w:tcPr>
            <w:tcW w:w="525" w:type="pct"/>
            <w:gridSpan w:val="2"/>
          </w:tcPr>
          <w:p w:rsidR="00D248F5" w:rsidRPr="00E345FB" w:rsidRDefault="00D248F5" w:rsidP="00E345FB">
            <w:pPr>
              <w:suppressAutoHyphens/>
              <w:jc w:val="both"/>
              <w:rPr>
                <w:sz w:val="22"/>
                <w:szCs w:val="22"/>
              </w:rPr>
            </w:pPr>
            <w:r w:rsidRPr="00E345FB">
              <w:rPr>
                <w:sz w:val="22"/>
                <w:szCs w:val="22"/>
              </w:rPr>
              <w:t>1190</w:t>
            </w:r>
          </w:p>
        </w:tc>
        <w:tc>
          <w:tcPr>
            <w:tcW w:w="482" w:type="pct"/>
            <w:gridSpan w:val="2"/>
          </w:tcPr>
          <w:p w:rsidR="00D248F5" w:rsidRPr="00E345FB" w:rsidRDefault="00D248F5" w:rsidP="00E345FB">
            <w:pPr>
              <w:suppressAutoHyphens/>
              <w:jc w:val="both"/>
              <w:rPr>
                <w:sz w:val="22"/>
                <w:szCs w:val="22"/>
              </w:rPr>
            </w:pPr>
            <w:r w:rsidRPr="00E345FB">
              <w:rPr>
                <w:sz w:val="22"/>
                <w:szCs w:val="22"/>
              </w:rPr>
              <w:t>21</w:t>
            </w:r>
          </w:p>
        </w:tc>
        <w:tc>
          <w:tcPr>
            <w:tcW w:w="480" w:type="pct"/>
            <w:gridSpan w:val="2"/>
          </w:tcPr>
          <w:p w:rsidR="00D248F5" w:rsidRPr="00E345FB" w:rsidRDefault="00D248F5" w:rsidP="00E345FB">
            <w:pPr>
              <w:suppressAutoHyphens/>
              <w:jc w:val="both"/>
              <w:rPr>
                <w:sz w:val="22"/>
                <w:szCs w:val="22"/>
              </w:rPr>
            </w:pPr>
            <w:r w:rsidRPr="00E345FB">
              <w:rPr>
                <w:sz w:val="22"/>
                <w:szCs w:val="22"/>
              </w:rPr>
              <w:t>2</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13</w:t>
            </w:r>
          </w:p>
        </w:tc>
        <w:tc>
          <w:tcPr>
            <w:tcW w:w="990" w:type="pct"/>
            <w:gridSpan w:val="2"/>
            <w:shd w:val="clear" w:color="auto" w:fill="auto"/>
          </w:tcPr>
          <w:p w:rsidR="00D248F5" w:rsidRPr="00E345FB" w:rsidRDefault="00D248F5" w:rsidP="00E345FB">
            <w:pPr>
              <w:suppressAutoHyphens/>
              <w:jc w:val="both"/>
              <w:rPr>
                <w:sz w:val="22"/>
                <w:szCs w:val="22"/>
              </w:rPr>
            </w:pPr>
            <w:r w:rsidRPr="00E345FB">
              <w:rPr>
                <w:sz w:val="22"/>
                <w:szCs w:val="22"/>
              </w:rPr>
              <w:t>Denmark</w:t>
            </w:r>
          </w:p>
        </w:tc>
        <w:tc>
          <w:tcPr>
            <w:tcW w:w="1118" w:type="pct"/>
            <w:gridSpan w:val="3"/>
            <w:shd w:val="clear" w:color="auto" w:fill="auto"/>
          </w:tcPr>
          <w:p w:rsidR="00D248F5" w:rsidRPr="00E345FB" w:rsidRDefault="00D248F5" w:rsidP="00E345FB">
            <w:pPr>
              <w:suppressAutoHyphens/>
              <w:jc w:val="both"/>
              <w:rPr>
                <w:sz w:val="22"/>
                <w:szCs w:val="22"/>
              </w:rPr>
            </w:pPr>
            <w:r w:rsidRPr="00E345FB">
              <w:rPr>
                <w:sz w:val="22"/>
                <w:szCs w:val="22"/>
              </w:rPr>
              <w:t>44</w:t>
            </w:r>
          </w:p>
        </w:tc>
        <w:tc>
          <w:tcPr>
            <w:tcW w:w="546" w:type="pct"/>
            <w:gridSpan w:val="2"/>
            <w:shd w:val="clear" w:color="auto" w:fill="auto"/>
          </w:tcPr>
          <w:p w:rsidR="00D248F5" w:rsidRPr="00E345FB" w:rsidRDefault="00D248F5" w:rsidP="00E345FB">
            <w:pPr>
              <w:suppressAutoHyphens/>
              <w:jc w:val="both"/>
              <w:rPr>
                <w:sz w:val="22"/>
                <w:szCs w:val="22"/>
              </w:rPr>
            </w:pPr>
            <w:r w:rsidRPr="00E345FB">
              <w:rPr>
                <w:sz w:val="22"/>
                <w:szCs w:val="22"/>
              </w:rPr>
              <w:t>12</w:t>
            </w:r>
          </w:p>
        </w:tc>
        <w:tc>
          <w:tcPr>
            <w:tcW w:w="525" w:type="pct"/>
            <w:gridSpan w:val="2"/>
          </w:tcPr>
          <w:p w:rsidR="00D248F5" w:rsidRPr="00E345FB" w:rsidRDefault="00D248F5" w:rsidP="00E345FB">
            <w:pPr>
              <w:suppressAutoHyphens/>
              <w:jc w:val="both"/>
              <w:rPr>
                <w:sz w:val="22"/>
                <w:szCs w:val="22"/>
              </w:rPr>
            </w:pPr>
            <w:r w:rsidRPr="00E345FB">
              <w:rPr>
                <w:sz w:val="22"/>
                <w:szCs w:val="22"/>
              </w:rPr>
              <w:t>402</w:t>
            </w:r>
          </w:p>
        </w:tc>
        <w:tc>
          <w:tcPr>
            <w:tcW w:w="482" w:type="pct"/>
            <w:gridSpan w:val="2"/>
          </w:tcPr>
          <w:p w:rsidR="00D248F5" w:rsidRPr="00E345FB" w:rsidRDefault="00D248F5" w:rsidP="00E345FB">
            <w:pPr>
              <w:suppressAutoHyphens/>
              <w:jc w:val="both"/>
              <w:rPr>
                <w:sz w:val="22"/>
                <w:szCs w:val="22"/>
              </w:rPr>
            </w:pPr>
            <w:r w:rsidRPr="00E345FB">
              <w:rPr>
                <w:sz w:val="22"/>
                <w:szCs w:val="22"/>
              </w:rPr>
              <w:t>11</w:t>
            </w:r>
          </w:p>
        </w:tc>
        <w:tc>
          <w:tcPr>
            <w:tcW w:w="480" w:type="pct"/>
            <w:gridSpan w:val="2"/>
          </w:tcPr>
          <w:p w:rsidR="00D248F5" w:rsidRPr="00E345FB" w:rsidRDefault="00D248F5" w:rsidP="00E345FB">
            <w:pPr>
              <w:suppressAutoHyphens/>
              <w:jc w:val="both"/>
              <w:rPr>
                <w:sz w:val="22"/>
                <w:szCs w:val="22"/>
              </w:rPr>
            </w:pPr>
            <w:r w:rsidRPr="00E345FB">
              <w:rPr>
                <w:sz w:val="22"/>
                <w:szCs w:val="22"/>
              </w:rPr>
              <w:t>6</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14</w:t>
            </w:r>
          </w:p>
        </w:tc>
        <w:tc>
          <w:tcPr>
            <w:tcW w:w="990" w:type="pct"/>
            <w:gridSpan w:val="2"/>
            <w:shd w:val="clear" w:color="auto" w:fill="auto"/>
          </w:tcPr>
          <w:p w:rsidR="00D248F5" w:rsidRPr="00E345FB" w:rsidRDefault="00D248F5" w:rsidP="00E345FB">
            <w:pPr>
              <w:suppressAutoHyphens/>
              <w:jc w:val="both"/>
              <w:rPr>
                <w:sz w:val="22"/>
                <w:szCs w:val="22"/>
              </w:rPr>
            </w:pPr>
            <w:r w:rsidRPr="00E345FB">
              <w:rPr>
                <w:sz w:val="22"/>
                <w:szCs w:val="22"/>
              </w:rPr>
              <w:t>Finland</w:t>
            </w:r>
          </w:p>
        </w:tc>
        <w:tc>
          <w:tcPr>
            <w:tcW w:w="1118" w:type="pct"/>
            <w:gridSpan w:val="3"/>
            <w:shd w:val="clear" w:color="auto" w:fill="auto"/>
          </w:tcPr>
          <w:p w:rsidR="00D248F5" w:rsidRPr="00E345FB" w:rsidRDefault="00D248F5" w:rsidP="00E345FB">
            <w:pPr>
              <w:suppressAutoHyphens/>
              <w:jc w:val="both"/>
              <w:rPr>
                <w:sz w:val="22"/>
                <w:szCs w:val="22"/>
              </w:rPr>
            </w:pPr>
            <w:r w:rsidRPr="00E345FB">
              <w:rPr>
                <w:sz w:val="22"/>
                <w:szCs w:val="22"/>
              </w:rPr>
              <w:t>40</w:t>
            </w:r>
          </w:p>
        </w:tc>
        <w:tc>
          <w:tcPr>
            <w:tcW w:w="546" w:type="pct"/>
            <w:gridSpan w:val="2"/>
            <w:shd w:val="clear" w:color="auto" w:fill="auto"/>
          </w:tcPr>
          <w:p w:rsidR="00D248F5" w:rsidRPr="00E345FB" w:rsidRDefault="00D248F5" w:rsidP="00E345FB">
            <w:pPr>
              <w:suppressAutoHyphens/>
              <w:jc w:val="both"/>
              <w:rPr>
                <w:sz w:val="22"/>
                <w:szCs w:val="22"/>
              </w:rPr>
            </w:pPr>
            <w:r w:rsidRPr="00E345FB">
              <w:rPr>
                <w:sz w:val="22"/>
                <w:szCs w:val="22"/>
              </w:rPr>
              <w:t>22</w:t>
            </w:r>
          </w:p>
        </w:tc>
        <w:tc>
          <w:tcPr>
            <w:tcW w:w="525" w:type="pct"/>
            <w:gridSpan w:val="2"/>
          </w:tcPr>
          <w:p w:rsidR="00D248F5" w:rsidRPr="00E345FB" w:rsidRDefault="00D248F5" w:rsidP="00E345FB">
            <w:pPr>
              <w:suppressAutoHyphens/>
              <w:jc w:val="both"/>
              <w:rPr>
                <w:sz w:val="22"/>
                <w:szCs w:val="22"/>
              </w:rPr>
            </w:pPr>
            <w:r w:rsidRPr="00E345FB">
              <w:rPr>
                <w:sz w:val="22"/>
                <w:szCs w:val="22"/>
              </w:rPr>
              <w:t>244</w:t>
            </w:r>
          </w:p>
        </w:tc>
        <w:tc>
          <w:tcPr>
            <w:tcW w:w="482" w:type="pct"/>
            <w:gridSpan w:val="2"/>
          </w:tcPr>
          <w:p w:rsidR="00D248F5" w:rsidRPr="00E345FB" w:rsidRDefault="00D248F5" w:rsidP="00E345FB">
            <w:pPr>
              <w:suppressAutoHyphens/>
              <w:jc w:val="both"/>
              <w:rPr>
                <w:sz w:val="22"/>
                <w:szCs w:val="22"/>
              </w:rPr>
            </w:pPr>
            <w:r w:rsidRPr="00E345FB">
              <w:rPr>
                <w:sz w:val="22"/>
                <w:szCs w:val="22"/>
              </w:rPr>
              <w:t>20</w:t>
            </w:r>
          </w:p>
        </w:tc>
        <w:tc>
          <w:tcPr>
            <w:tcW w:w="480" w:type="pct"/>
            <w:gridSpan w:val="2"/>
          </w:tcPr>
          <w:p w:rsidR="00D248F5" w:rsidRPr="00E345FB" w:rsidRDefault="00D248F5" w:rsidP="00E345FB">
            <w:pPr>
              <w:suppressAutoHyphens/>
              <w:jc w:val="both"/>
              <w:rPr>
                <w:sz w:val="22"/>
                <w:szCs w:val="22"/>
              </w:rPr>
            </w:pPr>
            <w:r w:rsidRPr="00E345FB">
              <w:rPr>
                <w:sz w:val="22"/>
                <w:szCs w:val="22"/>
              </w:rPr>
              <w:t>1</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15</w:t>
            </w:r>
          </w:p>
        </w:tc>
        <w:tc>
          <w:tcPr>
            <w:tcW w:w="990" w:type="pct"/>
            <w:gridSpan w:val="2"/>
            <w:shd w:val="clear" w:color="auto" w:fill="auto"/>
          </w:tcPr>
          <w:p w:rsidR="00D248F5" w:rsidRPr="00E345FB" w:rsidRDefault="00D248F5" w:rsidP="00E345FB">
            <w:pPr>
              <w:suppressAutoHyphens/>
              <w:jc w:val="both"/>
              <w:rPr>
                <w:sz w:val="22"/>
                <w:szCs w:val="22"/>
              </w:rPr>
            </w:pPr>
            <w:r w:rsidRPr="00E345FB">
              <w:rPr>
                <w:sz w:val="22"/>
                <w:szCs w:val="22"/>
              </w:rPr>
              <w:t>Indonesia</w:t>
            </w:r>
          </w:p>
        </w:tc>
        <w:tc>
          <w:tcPr>
            <w:tcW w:w="1118" w:type="pct"/>
            <w:gridSpan w:val="3"/>
            <w:shd w:val="clear" w:color="auto" w:fill="auto"/>
          </w:tcPr>
          <w:p w:rsidR="00D248F5" w:rsidRPr="00E345FB" w:rsidRDefault="00D248F5" w:rsidP="00E345FB">
            <w:pPr>
              <w:suppressAutoHyphens/>
              <w:jc w:val="both"/>
              <w:rPr>
                <w:sz w:val="22"/>
                <w:szCs w:val="22"/>
              </w:rPr>
            </w:pPr>
            <w:r w:rsidRPr="00E345FB">
              <w:rPr>
                <w:sz w:val="22"/>
                <w:szCs w:val="22"/>
              </w:rPr>
              <w:t>40</w:t>
            </w:r>
          </w:p>
        </w:tc>
        <w:tc>
          <w:tcPr>
            <w:tcW w:w="546" w:type="pct"/>
            <w:gridSpan w:val="2"/>
            <w:shd w:val="clear" w:color="auto" w:fill="auto"/>
          </w:tcPr>
          <w:p w:rsidR="00D248F5" w:rsidRPr="00E345FB" w:rsidRDefault="00D248F5" w:rsidP="00E345FB">
            <w:pPr>
              <w:suppressAutoHyphens/>
              <w:jc w:val="both"/>
              <w:rPr>
                <w:sz w:val="22"/>
                <w:szCs w:val="22"/>
              </w:rPr>
            </w:pPr>
            <w:r w:rsidRPr="00E345FB">
              <w:rPr>
                <w:sz w:val="22"/>
                <w:szCs w:val="22"/>
              </w:rPr>
              <w:t>8</w:t>
            </w:r>
          </w:p>
        </w:tc>
        <w:tc>
          <w:tcPr>
            <w:tcW w:w="525" w:type="pct"/>
            <w:gridSpan w:val="2"/>
          </w:tcPr>
          <w:p w:rsidR="00D248F5" w:rsidRPr="00E345FB" w:rsidRDefault="00D248F5" w:rsidP="00E345FB">
            <w:pPr>
              <w:suppressAutoHyphens/>
              <w:jc w:val="both"/>
              <w:rPr>
                <w:sz w:val="22"/>
                <w:szCs w:val="22"/>
              </w:rPr>
            </w:pPr>
            <w:r w:rsidRPr="00E345FB">
              <w:rPr>
                <w:sz w:val="22"/>
                <w:szCs w:val="22"/>
              </w:rPr>
              <w:t>33</w:t>
            </w:r>
          </w:p>
        </w:tc>
        <w:tc>
          <w:tcPr>
            <w:tcW w:w="482" w:type="pct"/>
            <w:gridSpan w:val="2"/>
          </w:tcPr>
          <w:p w:rsidR="00D248F5" w:rsidRPr="00E345FB" w:rsidRDefault="00D248F5" w:rsidP="00E345FB">
            <w:pPr>
              <w:suppressAutoHyphens/>
              <w:jc w:val="both"/>
              <w:rPr>
                <w:sz w:val="22"/>
                <w:szCs w:val="22"/>
              </w:rPr>
            </w:pPr>
            <w:r w:rsidRPr="00E345FB">
              <w:rPr>
                <w:sz w:val="22"/>
                <w:szCs w:val="22"/>
              </w:rPr>
              <w:t>7</w:t>
            </w:r>
          </w:p>
        </w:tc>
        <w:tc>
          <w:tcPr>
            <w:tcW w:w="480" w:type="pct"/>
            <w:gridSpan w:val="2"/>
          </w:tcPr>
          <w:p w:rsidR="00D248F5" w:rsidRPr="00E345FB" w:rsidRDefault="00D248F5" w:rsidP="00E345FB">
            <w:pPr>
              <w:suppressAutoHyphens/>
              <w:jc w:val="both"/>
              <w:rPr>
                <w:sz w:val="22"/>
                <w:szCs w:val="22"/>
              </w:rPr>
            </w:pPr>
            <w:r w:rsidRPr="00E345FB">
              <w:rPr>
                <w:sz w:val="22"/>
                <w:szCs w:val="22"/>
              </w:rPr>
              <w:t>1</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16</w:t>
            </w:r>
          </w:p>
        </w:tc>
        <w:tc>
          <w:tcPr>
            <w:tcW w:w="990" w:type="pct"/>
            <w:gridSpan w:val="2"/>
            <w:shd w:val="clear" w:color="auto" w:fill="auto"/>
          </w:tcPr>
          <w:p w:rsidR="00D248F5" w:rsidRPr="00E345FB" w:rsidRDefault="00D248F5" w:rsidP="00E345FB">
            <w:pPr>
              <w:suppressAutoHyphens/>
              <w:jc w:val="both"/>
              <w:rPr>
                <w:sz w:val="22"/>
                <w:szCs w:val="22"/>
              </w:rPr>
            </w:pPr>
            <w:r w:rsidRPr="00E345FB">
              <w:rPr>
                <w:sz w:val="22"/>
                <w:szCs w:val="22"/>
              </w:rPr>
              <w:t>Switzerland</w:t>
            </w:r>
          </w:p>
        </w:tc>
        <w:tc>
          <w:tcPr>
            <w:tcW w:w="1118" w:type="pct"/>
            <w:gridSpan w:val="3"/>
            <w:shd w:val="clear" w:color="auto" w:fill="auto"/>
          </w:tcPr>
          <w:p w:rsidR="00D248F5" w:rsidRPr="00E345FB" w:rsidRDefault="00D248F5" w:rsidP="00E345FB">
            <w:pPr>
              <w:suppressAutoHyphens/>
              <w:jc w:val="both"/>
              <w:rPr>
                <w:sz w:val="22"/>
                <w:szCs w:val="22"/>
              </w:rPr>
            </w:pPr>
            <w:r w:rsidRPr="00E345FB">
              <w:rPr>
                <w:sz w:val="22"/>
                <w:szCs w:val="22"/>
              </w:rPr>
              <w:t>35</w:t>
            </w:r>
          </w:p>
        </w:tc>
        <w:tc>
          <w:tcPr>
            <w:tcW w:w="546" w:type="pct"/>
            <w:gridSpan w:val="2"/>
            <w:shd w:val="clear" w:color="auto" w:fill="auto"/>
          </w:tcPr>
          <w:p w:rsidR="00D248F5" w:rsidRPr="00E345FB" w:rsidRDefault="00D248F5" w:rsidP="00E345FB">
            <w:pPr>
              <w:suppressAutoHyphens/>
              <w:jc w:val="both"/>
              <w:rPr>
                <w:sz w:val="22"/>
                <w:szCs w:val="22"/>
              </w:rPr>
            </w:pPr>
            <w:r w:rsidRPr="00E345FB">
              <w:rPr>
                <w:sz w:val="22"/>
                <w:szCs w:val="22"/>
              </w:rPr>
              <w:t>13</w:t>
            </w:r>
          </w:p>
        </w:tc>
        <w:tc>
          <w:tcPr>
            <w:tcW w:w="525" w:type="pct"/>
            <w:gridSpan w:val="2"/>
          </w:tcPr>
          <w:p w:rsidR="00D248F5" w:rsidRPr="00E345FB" w:rsidRDefault="00D248F5" w:rsidP="00E345FB">
            <w:pPr>
              <w:suppressAutoHyphens/>
              <w:jc w:val="both"/>
              <w:rPr>
                <w:sz w:val="22"/>
                <w:szCs w:val="22"/>
              </w:rPr>
            </w:pPr>
            <w:r w:rsidRPr="00E345FB">
              <w:rPr>
                <w:sz w:val="22"/>
                <w:szCs w:val="22"/>
              </w:rPr>
              <w:t>302</w:t>
            </w:r>
          </w:p>
        </w:tc>
        <w:tc>
          <w:tcPr>
            <w:tcW w:w="482" w:type="pct"/>
            <w:gridSpan w:val="2"/>
          </w:tcPr>
          <w:p w:rsidR="00D248F5" w:rsidRPr="00E345FB" w:rsidRDefault="00D248F5" w:rsidP="00E345FB">
            <w:pPr>
              <w:suppressAutoHyphens/>
              <w:jc w:val="both"/>
              <w:rPr>
                <w:sz w:val="22"/>
                <w:szCs w:val="22"/>
              </w:rPr>
            </w:pPr>
            <w:r w:rsidRPr="00E345FB">
              <w:rPr>
                <w:sz w:val="22"/>
                <w:szCs w:val="22"/>
              </w:rPr>
              <w:t>14</w:t>
            </w:r>
          </w:p>
        </w:tc>
        <w:tc>
          <w:tcPr>
            <w:tcW w:w="480" w:type="pct"/>
            <w:gridSpan w:val="2"/>
          </w:tcPr>
          <w:p w:rsidR="00D248F5" w:rsidRPr="00E345FB" w:rsidRDefault="00D248F5" w:rsidP="00E345FB">
            <w:pPr>
              <w:suppressAutoHyphens/>
              <w:jc w:val="both"/>
              <w:rPr>
                <w:sz w:val="22"/>
                <w:szCs w:val="22"/>
              </w:rPr>
            </w:pPr>
            <w:r w:rsidRPr="00E345FB">
              <w:rPr>
                <w:sz w:val="22"/>
                <w:szCs w:val="22"/>
              </w:rPr>
              <w:t>4</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17</w:t>
            </w:r>
          </w:p>
        </w:tc>
        <w:tc>
          <w:tcPr>
            <w:tcW w:w="990" w:type="pct"/>
            <w:gridSpan w:val="2"/>
            <w:shd w:val="clear" w:color="auto" w:fill="auto"/>
          </w:tcPr>
          <w:p w:rsidR="00D248F5" w:rsidRPr="00E345FB" w:rsidRDefault="00D248F5" w:rsidP="00E345FB">
            <w:pPr>
              <w:suppressAutoHyphens/>
              <w:jc w:val="both"/>
              <w:rPr>
                <w:sz w:val="22"/>
                <w:szCs w:val="22"/>
              </w:rPr>
            </w:pPr>
            <w:r w:rsidRPr="00E345FB">
              <w:rPr>
                <w:sz w:val="22"/>
                <w:szCs w:val="22"/>
              </w:rPr>
              <w:t>Sweden</w:t>
            </w:r>
          </w:p>
        </w:tc>
        <w:tc>
          <w:tcPr>
            <w:tcW w:w="1118" w:type="pct"/>
            <w:gridSpan w:val="3"/>
            <w:shd w:val="clear" w:color="auto" w:fill="auto"/>
          </w:tcPr>
          <w:p w:rsidR="00D248F5" w:rsidRPr="00E345FB" w:rsidRDefault="00D248F5" w:rsidP="00E345FB">
            <w:pPr>
              <w:suppressAutoHyphens/>
              <w:jc w:val="both"/>
              <w:rPr>
                <w:sz w:val="22"/>
                <w:szCs w:val="22"/>
              </w:rPr>
            </w:pPr>
            <w:r w:rsidRPr="00E345FB">
              <w:rPr>
                <w:sz w:val="22"/>
                <w:szCs w:val="22"/>
              </w:rPr>
              <w:t>34</w:t>
            </w:r>
          </w:p>
        </w:tc>
        <w:tc>
          <w:tcPr>
            <w:tcW w:w="546" w:type="pct"/>
            <w:gridSpan w:val="2"/>
            <w:shd w:val="clear" w:color="auto" w:fill="auto"/>
          </w:tcPr>
          <w:p w:rsidR="00D248F5" w:rsidRPr="00E345FB" w:rsidRDefault="00D248F5" w:rsidP="00E345FB">
            <w:pPr>
              <w:suppressAutoHyphens/>
              <w:jc w:val="both"/>
              <w:rPr>
                <w:sz w:val="22"/>
                <w:szCs w:val="22"/>
              </w:rPr>
            </w:pPr>
            <w:r w:rsidRPr="00E345FB">
              <w:rPr>
                <w:sz w:val="22"/>
                <w:szCs w:val="22"/>
              </w:rPr>
              <w:t>14</w:t>
            </w:r>
          </w:p>
        </w:tc>
        <w:tc>
          <w:tcPr>
            <w:tcW w:w="525" w:type="pct"/>
            <w:gridSpan w:val="2"/>
          </w:tcPr>
          <w:p w:rsidR="00D248F5" w:rsidRPr="00E345FB" w:rsidRDefault="00D248F5" w:rsidP="00E345FB">
            <w:pPr>
              <w:suppressAutoHyphens/>
              <w:jc w:val="both"/>
              <w:rPr>
                <w:sz w:val="22"/>
                <w:szCs w:val="22"/>
              </w:rPr>
            </w:pPr>
            <w:r w:rsidRPr="00E345FB">
              <w:rPr>
                <w:sz w:val="22"/>
                <w:szCs w:val="22"/>
              </w:rPr>
              <w:t>870</w:t>
            </w:r>
          </w:p>
        </w:tc>
        <w:tc>
          <w:tcPr>
            <w:tcW w:w="482" w:type="pct"/>
            <w:gridSpan w:val="2"/>
          </w:tcPr>
          <w:p w:rsidR="00D248F5" w:rsidRPr="00E345FB" w:rsidRDefault="00D248F5" w:rsidP="00E345FB">
            <w:pPr>
              <w:suppressAutoHyphens/>
              <w:jc w:val="both"/>
              <w:rPr>
                <w:sz w:val="22"/>
                <w:szCs w:val="22"/>
              </w:rPr>
            </w:pPr>
            <w:r w:rsidRPr="00E345FB">
              <w:rPr>
                <w:sz w:val="22"/>
                <w:szCs w:val="22"/>
              </w:rPr>
              <w:t>14</w:t>
            </w:r>
          </w:p>
        </w:tc>
        <w:tc>
          <w:tcPr>
            <w:tcW w:w="480" w:type="pct"/>
            <w:gridSpan w:val="2"/>
          </w:tcPr>
          <w:p w:rsidR="00D248F5" w:rsidRPr="00E345FB" w:rsidRDefault="00D248F5" w:rsidP="00E345FB">
            <w:pPr>
              <w:suppressAutoHyphens/>
              <w:jc w:val="both"/>
              <w:rPr>
                <w:sz w:val="22"/>
                <w:szCs w:val="22"/>
              </w:rPr>
            </w:pPr>
            <w:r w:rsidRPr="00E345FB">
              <w:rPr>
                <w:sz w:val="22"/>
                <w:szCs w:val="22"/>
              </w:rPr>
              <w:t>5</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18</w:t>
            </w:r>
          </w:p>
        </w:tc>
        <w:tc>
          <w:tcPr>
            <w:tcW w:w="990" w:type="pct"/>
            <w:gridSpan w:val="2"/>
            <w:shd w:val="clear" w:color="auto" w:fill="auto"/>
          </w:tcPr>
          <w:p w:rsidR="00D248F5" w:rsidRPr="00E345FB" w:rsidRDefault="00D248F5" w:rsidP="00E345FB">
            <w:pPr>
              <w:suppressAutoHyphens/>
              <w:jc w:val="both"/>
              <w:rPr>
                <w:sz w:val="22"/>
                <w:szCs w:val="22"/>
              </w:rPr>
            </w:pPr>
            <w:r w:rsidRPr="00E345FB">
              <w:rPr>
                <w:sz w:val="22"/>
                <w:szCs w:val="22"/>
              </w:rPr>
              <w:t>South Korea</w:t>
            </w:r>
          </w:p>
        </w:tc>
        <w:tc>
          <w:tcPr>
            <w:tcW w:w="1118" w:type="pct"/>
            <w:gridSpan w:val="3"/>
            <w:shd w:val="clear" w:color="auto" w:fill="auto"/>
          </w:tcPr>
          <w:p w:rsidR="00D248F5" w:rsidRPr="00E345FB" w:rsidRDefault="00D248F5" w:rsidP="00E345FB">
            <w:pPr>
              <w:suppressAutoHyphens/>
              <w:jc w:val="both"/>
              <w:rPr>
                <w:sz w:val="22"/>
                <w:szCs w:val="22"/>
              </w:rPr>
            </w:pPr>
            <w:r w:rsidRPr="00E345FB">
              <w:rPr>
                <w:sz w:val="22"/>
                <w:szCs w:val="22"/>
              </w:rPr>
              <w:t>34</w:t>
            </w:r>
          </w:p>
        </w:tc>
        <w:tc>
          <w:tcPr>
            <w:tcW w:w="546" w:type="pct"/>
            <w:gridSpan w:val="2"/>
            <w:shd w:val="clear" w:color="auto" w:fill="auto"/>
          </w:tcPr>
          <w:p w:rsidR="00D248F5" w:rsidRPr="00E345FB" w:rsidRDefault="00D248F5" w:rsidP="00E345FB">
            <w:pPr>
              <w:suppressAutoHyphens/>
              <w:jc w:val="both"/>
              <w:rPr>
                <w:sz w:val="22"/>
                <w:szCs w:val="22"/>
              </w:rPr>
            </w:pPr>
            <w:r w:rsidRPr="00E345FB">
              <w:rPr>
                <w:sz w:val="22"/>
                <w:szCs w:val="22"/>
              </w:rPr>
              <w:t>9</w:t>
            </w:r>
          </w:p>
        </w:tc>
        <w:tc>
          <w:tcPr>
            <w:tcW w:w="525" w:type="pct"/>
            <w:gridSpan w:val="2"/>
          </w:tcPr>
          <w:p w:rsidR="00D248F5" w:rsidRPr="00E345FB" w:rsidRDefault="00D248F5" w:rsidP="00E345FB">
            <w:pPr>
              <w:suppressAutoHyphens/>
              <w:jc w:val="both"/>
              <w:rPr>
                <w:sz w:val="22"/>
                <w:szCs w:val="22"/>
              </w:rPr>
            </w:pPr>
            <w:r w:rsidRPr="00E345FB">
              <w:rPr>
                <w:sz w:val="22"/>
                <w:szCs w:val="22"/>
              </w:rPr>
              <w:t>90</w:t>
            </w:r>
          </w:p>
        </w:tc>
        <w:tc>
          <w:tcPr>
            <w:tcW w:w="482" w:type="pct"/>
            <w:gridSpan w:val="2"/>
          </w:tcPr>
          <w:p w:rsidR="00D248F5" w:rsidRPr="00E345FB" w:rsidRDefault="00D248F5" w:rsidP="00E345FB">
            <w:pPr>
              <w:suppressAutoHyphens/>
              <w:jc w:val="both"/>
              <w:rPr>
                <w:sz w:val="22"/>
                <w:szCs w:val="22"/>
              </w:rPr>
            </w:pPr>
            <w:r w:rsidRPr="00E345FB">
              <w:rPr>
                <w:sz w:val="22"/>
                <w:szCs w:val="22"/>
              </w:rPr>
              <w:t>5</w:t>
            </w:r>
          </w:p>
        </w:tc>
        <w:tc>
          <w:tcPr>
            <w:tcW w:w="480" w:type="pct"/>
            <w:gridSpan w:val="2"/>
          </w:tcPr>
          <w:p w:rsidR="00D248F5" w:rsidRPr="00E345FB" w:rsidRDefault="00D248F5" w:rsidP="00E345FB">
            <w:pPr>
              <w:suppressAutoHyphens/>
              <w:jc w:val="both"/>
              <w:rPr>
                <w:sz w:val="22"/>
                <w:szCs w:val="22"/>
              </w:rPr>
            </w:pPr>
            <w:r w:rsidRPr="00E345FB">
              <w:rPr>
                <w:sz w:val="22"/>
                <w:szCs w:val="22"/>
              </w:rPr>
              <w:t>9</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19</w:t>
            </w:r>
          </w:p>
        </w:tc>
        <w:tc>
          <w:tcPr>
            <w:tcW w:w="990" w:type="pct"/>
            <w:gridSpan w:val="2"/>
            <w:shd w:val="clear" w:color="auto" w:fill="auto"/>
          </w:tcPr>
          <w:p w:rsidR="00D248F5" w:rsidRPr="00E345FB" w:rsidRDefault="00D248F5" w:rsidP="00E345FB">
            <w:pPr>
              <w:suppressAutoHyphens/>
              <w:jc w:val="both"/>
              <w:rPr>
                <w:sz w:val="22"/>
                <w:szCs w:val="22"/>
              </w:rPr>
            </w:pPr>
            <w:r w:rsidRPr="00E345FB">
              <w:rPr>
                <w:sz w:val="22"/>
                <w:szCs w:val="22"/>
              </w:rPr>
              <w:t>Ireland</w:t>
            </w:r>
          </w:p>
        </w:tc>
        <w:tc>
          <w:tcPr>
            <w:tcW w:w="1118" w:type="pct"/>
            <w:gridSpan w:val="3"/>
            <w:shd w:val="clear" w:color="auto" w:fill="auto"/>
          </w:tcPr>
          <w:p w:rsidR="00D248F5" w:rsidRPr="00E345FB" w:rsidRDefault="00D248F5" w:rsidP="00E345FB">
            <w:pPr>
              <w:suppressAutoHyphens/>
              <w:jc w:val="both"/>
              <w:rPr>
                <w:sz w:val="22"/>
                <w:szCs w:val="22"/>
              </w:rPr>
            </w:pPr>
            <w:r w:rsidRPr="00E345FB">
              <w:rPr>
                <w:sz w:val="22"/>
                <w:szCs w:val="22"/>
              </w:rPr>
              <w:t>30</w:t>
            </w:r>
          </w:p>
        </w:tc>
        <w:tc>
          <w:tcPr>
            <w:tcW w:w="546" w:type="pct"/>
            <w:gridSpan w:val="2"/>
            <w:shd w:val="clear" w:color="auto" w:fill="auto"/>
          </w:tcPr>
          <w:p w:rsidR="00D248F5" w:rsidRPr="00E345FB" w:rsidRDefault="00D248F5" w:rsidP="00E345FB">
            <w:pPr>
              <w:suppressAutoHyphens/>
              <w:jc w:val="both"/>
              <w:rPr>
                <w:sz w:val="22"/>
                <w:szCs w:val="22"/>
              </w:rPr>
            </w:pPr>
            <w:r w:rsidRPr="00E345FB">
              <w:rPr>
                <w:sz w:val="22"/>
                <w:szCs w:val="22"/>
              </w:rPr>
              <w:t>11</w:t>
            </w:r>
          </w:p>
        </w:tc>
        <w:tc>
          <w:tcPr>
            <w:tcW w:w="525" w:type="pct"/>
            <w:gridSpan w:val="2"/>
          </w:tcPr>
          <w:p w:rsidR="00D248F5" w:rsidRPr="00E345FB" w:rsidRDefault="00D248F5" w:rsidP="00E345FB">
            <w:pPr>
              <w:suppressAutoHyphens/>
              <w:jc w:val="both"/>
              <w:rPr>
                <w:sz w:val="22"/>
                <w:szCs w:val="22"/>
              </w:rPr>
            </w:pPr>
            <w:r w:rsidRPr="00E345FB">
              <w:rPr>
                <w:sz w:val="22"/>
                <w:szCs w:val="22"/>
              </w:rPr>
              <w:t>257</w:t>
            </w:r>
          </w:p>
        </w:tc>
        <w:tc>
          <w:tcPr>
            <w:tcW w:w="482" w:type="pct"/>
            <w:gridSpan w:val="2"/>
          </w:tcPr>
          <w:p w:rsidR="00D248F5" w:rsidRPr="00E345FB" w:rsidRDefault="00D248F5" w:rsidP="00E345FB">
            <w:pPr>
              <w:suppressAutoHyphens/>
              <w:jc w:val="both"/>
              <w:rPr>
                <w:sz w:val="22"/>
                <w:szCs w:val="22"/>
              </w:rPr>
            </w:pPr>
            <w:r w:rsidRPr="00E345FB">
              <w:rPr>
                <w:sz w:val="22"/>
                <w:szCs w:val="22"/>
              </w:rPr>
              <w:t>10</w:t>
            </w:r>
          </w:p>
        </w:tc>
        <w:tc>
          <w:tcPr>
            <w:tcW w:w="480" w:type="pct"/>
            <w:gridSpan w:val="2"/>
          </w:tcPr>
          <w:p w:rsidR="00D248F5" w:rsidRPr="00E345FB" w:rsidRDefault="00D248F5" w:rsidP="00E345FB">
            <w:pPr>
              <w:suppressAutoHyphens/>
              <w:jc w:val="both"/>
              <w:rPr>
                <w:sz w:val="22"/>
                <w:szCs w:val="22"/>
              </w:rPr>
            </w:pPr>
            <w:r w:rsidRPr="00E345FB">
              <w:rPr>
                <w:sz w:val="22"/>
                <w:szCs w:val="22"/>
              </w:rPr>
              <w:t>5</w:t>
            </w:r>
          </w:p>
        </w:tc>
      </w:tr>
      <w:tr w:rsidR="00D248F5" w:rsidRPr="00E345FB" w:rsidTr="00D248F5">
        <w:tc>
          <w:tcPr>
            <w:tcW w:w="858" w:type="pct"/>
          </w:tcPr>
          <w:p w:rsidR="00D248F5" w:rsidRPr="00E345FB" w:rsidRDefault="00D248F5" w:rsidP="00E345FB">
            <w:pPr>
              <w:suppressAutoHyphens/>
              <w:jc w:val="both"/>
              <w:rPr>
                <w:sz w:val="22"/>
                <w:szCs w:val="22"/>
              </w:rPr>
            </w:pPr>
            <w:r w:rsidRPr="00E345FB">
              <w:rPr>
                <w:sz w:val="22"/>
                <w:szCs w:val="22"/>
              </w:rPr>
              <w:t>20</w:t>
            </w:r>
          </w:p>
        </w:tc>
        <w:tc>
          <w:tcPr>
            <w:tcW w:w="990" w:type="pct"/>
            <w:gridSpan w:val="2"/>
            <w:shd w:val="clear" w:color="auto" w:fill="auto"/>
          </w:tcPr>
          <w:p w:rsidR="00D248F5" w:rsidRPr="00E345FB" w:rsidRDefault="00D248F5" w:rsidP="00E345FB">
            <w:pPr>
              <w:suppressAutoHyphens/>
              <w:jc w:val="both"/>
              <w:rPr>
                <w:sz w:val="22"/>
                <w:szCs w:val="22"/>
              </w:rPr>
            </w:pPr>
            <w:r w:rsidRPr="00E345FB">
              <w:rPr>
                <w:sz w:val="22"/>
                <w:szCs w:val="22"/>
              </w:rPr>
              <w:t>Norway</w:t>
            </w:r>
          </w:p>
        </w:tc>
        <w:tc>
          <w:tcPr>
            <w:tcW w:w="1118" w:type="pct"/>
            <w:gridSpan w:val="3"/>
            <w:shd w:val="clear" w:color="auto" w:fill="auto"/>
          </w:tcPr>
          <w:p w:rsidR="00D248F5" w:rsidRPr="00E345FB" w:rsidRDefault="00D248F5" w:rsidP="00E345FB">
            <w:pPr>
              <w:suppressAutoHyphens/>
              <w:jc w:val="both"/>
              <w:rPr>
                <w:sz w:val="22"/>
                <w:szCs w:val="22"/>
              </w:rPr>
            </w:pPr>
            <w:r w:rsidRPr="00E345FB">
              <w:rPr>
                <w:sz w:val="22"/>
                <w:szCs w:val="22"/>
              </w:rPr>
              <w:t>30</w:t>
            </w:r>
          </w:p>
        </w:tc>
        <w:tc>
          <w:tcPr>
            <w:tcW w:w="546" w:type="pct"/>
            <w:gridSpan w:val="2"/>
            <w:shd w:val="clear" w:color="auto" w:fill="auto"/>
          </w:tcPr>
          <w:p w:rsidR="00D248F5" w:rsidRPr="00E345FB" w:rsidRDefault="00D248F5" w:rsidP="00E345FB">
            <w:pPr>
              <w:suppressAutoHyphens/>
              <w:jc w:val="both"/>
              <w:rPr>
                <w:sz w:val="22"/>
                <w:szCs w:val="22"/>
              </w:rPr>
            </w:pPr>
            <w:r w:rsidRPr="00E345FB">
              <w:rPr>
                <w:sz w:val="22"/>
                <w:szCs w:val="22"/>
              </w:rPr>
              <w:t>8</w:t>
            </w:r>
          </w:p>
        </w:tc>
        <w:tc>
          <w:tcPr>
            <w:tcW w:w="525" w:type="pct"/>
            <w:gridSpan w:val="2"/>
          </w:tcPr>
          <w:p w:rsidR="00D248F5" w:rsidRPr="00E345FB" w:rsidRDefault="00D248F5" w:rsidP="00E345FB">
            <w:pPr>
              <w:suppressAutoHyphens/>
              <w:jc w:val="both"/>
              <w:rPr>
                <w:sz w:val="22"/>
                <w:szCs w:val="22"/>
              </w:rPr>
            </w:pPr>
            <w:r w:rsidRPr="00E345FB">
              <w:rPr>
                <w:sz w:val="22"/>
                <w:szCs w:val="22"/>
              </w:rPr>
              <w:t>188</w:t>
            </w:r>
          </w:p>
        </w:tc>
        <w:tc>
          <w:tcPr>
            <w:tcW w:w="482" w:type="pct"/>
            <w:gridSpan w:val="2"/>
          </w:tcPr>
          <w:p w:rsidR="00D248F5" w:rsidRPr="00E345FB" w:rsidRDefault="00D248F5" w:rsidP="00E345FB">
            <w:pPr>
              <w:suppressAutoHyphens/>
              <w:jc w:val="both"/>
              <w:rPr>
                <w:sz w:val="22"/>
                <w:szCs w:val="22"/>
              </w:rPr>
            </w:pPr>
            <w:r w:rsidRPr="00E345FB">
              <w:rPr>
                <w:sz w:val="22"/>
                <w:szCs w:val="22"/>
              </w:rPr>
              <w:t>8</w:t>
            </w:r>
          </w:p>
        </w:tc>
        <w:tc>
          <w:tcPr>
            <w:tcW w:w="480" w:type="pct"/>
            <w:gridSpan w:val="2"/>
          </w:tcPr>
          <w:p w:rsidR="00D248F5" w:rsidRPr="00E345FB" w:rsidRDefault="00D248F5" w:rsidP="00E345FB">
            <w:pPr>
              <w:suppressAutoHyphens/>
              <w:jc w:val="both"/>
              <w:rPr>
                <w:sz w:val="22"/>
                <w:szCs w:val="22"/>
              </w:rPr>
            </w:pPr>
            <w:r w:rsidRPr="00E345FB">
              <w:rPr>
                <w:sz w:val="22"/>
                <w:szCs w:val="22"/>
              </w:rPr>
              <w:t>6</w:t>
            </w:r>
          </w:p>
        </w:tc>
      </w:tr>
    </w:tbl>
    <w:p w:rsidR="007C2C0D" w:rsidRPr="00E345FB" w:rsidRDefault="007C2C0D" w:rsidP="00E345FB">
      <w:pPr>
        <w:pStyle w:val="SAP-Paragraph"/>
        <w:suppressAutoHyphens/>
        <w:spacing w:line="240" w:lineRule="auto"/>
        <w:ind w:firstLineChars="0" w:firstLine="0"/>
        <w:rPr>
          <w:b/>
          <w:bCs/>
          <w:i/>
          <w:iCs/>
          <w:sz w:val="22"/>
          <w:szCs w:val="22"/>
          <w:lang w:val="en-GB"/>
        </w:rPr>
      </w:pPr>
    </w:p>
    <w:p w:rsidR="00947AD3" w:rsidRDefault="00947AD3" w:rsidP="00E345FB">
      <w:pPr>
        <w:pStyle w:val="SAP-Paragraph"/>
        <w:suppressAutoHyphens/>
        <w:spacing w:line="240" w:lineRule="auto"/>
        <w:ind w:firstLineChars="0" w:firstLine="0"/>
        <w:rPr>
          <w:b/>
          <w:bCs/>
          <w:i/>
          <w:iCs/>
          <w:sz w:val="22"/>
          <w:szCs w:val="22"/>
          <w:lang w:val="en-GB"/>
        </w:rPr>
        <w:sectPr w:rsidR="00947AD3" w:rsidSect="000479B9">
          <w:type w:val="continuous"/>
          <w:pgSz w:w="11907" w:h="16840" w:code="9"/>
          <w:pgMar w:top="1440" w:right="1440" w:bottom="1440" w:left="1440" w:header="709" w:footer="709" w:gutter="0"/>
          <w:cols w:space="284"/>
          <w:titlePg/>
          <w:docGrid w:linePitch="360"/>
        </w:sectPr>
      </w:pPr>
    </w:p>
    <w:p w:rsidR="00EA73F8" w:rsidRPr="00E345FB" w:rsidRDefault="00345A79" w:rsidP="00E345FB">
      <w:pPr>
        <w:pStyle w:val="SAP-Paragraph"/>
        <w:suppressAutoHyphens/>
        <w:spacing w:line="240" w:lineRule="auto"/>
        <w:ind w:firstLineChars="0" w:firstLine="0"/>
        <w:rPr>
          <w:b/>
          <w:bCs/>
          <w:i/>
          <w:iCs/>
          <w:sz w:val="22"/>
          <w:szCs w:val="22"/>
          <w:lang w:val="en-GB"/>
        </w:rPr>
      </w:pPr>
      <w:r w:rsidRPr="00E345FB">
        <w:rPr>
          <w:b/>
          <w:bCs/>
          <w:i/>
          <w:iCs/>
          <w:sz w:val="22"/>
          <w:szCs w:val="22"/>
          <w:lang w:val="en-GB"/>
        </w:rPr>
        <w:lastRenderedPageBreak/>
        <w:t xml:space="preserve">Citation Analysis and </w:t>
      </w:r>
      <w:r w:rsidR="00EA73F8" w:rsidRPr="00E345FB">
        <w:rPr>
          <w:b/>
          <w:bCs/>
          <w:i/>
          <w:iCs/>
          <w:sz w:val="22"/>
          <w:szCs w:val="22"/>
          <w:lang w:val="en-GB"/>
        </w:rPr>
        <w:t xml:space="preserve">Top </w:t>
      </w:r>
      <w:r w:rsidR="00B42484" w:rsidRPr="00E345FB">
        <w:rPr>
          <w:b/>
          <w:bCs/>
          <w:i/>
          <w:iCs/>
          <w:sz w:val="22"/>
          <w:szCs w:val="22"/>
          <w:lang w:val="en-GB"/>
        </w:rPr>
        <w:t xml:space="preserve">Cited Documents </w:t>
      </w:r>
    </w:p>
    <w:p w:rsidR="005568CB" w:rsidRPr="00E345FB" w:rsidRDefault="005568CB" w:rsidP="00E345FB">
      <w:pPr>
        <w:pStyle w:val="SAP-Paragraph"/>
        <w:suppressAutoHyphens/>
        <w:spacing w:line="240" w:lineRule="auto"/>
        <w:ind w:firstLine="221"/>
        <w:rPr>
          <w:b/>
          <w:bCs/>
          <w:i/>
          <w:iCs/>
          <w:sz w:val="22"/>
          <w:szCs w:val="22"/>
          <w:lang w:val="en-GB"/>
        </w:rPr>
      </w:pPr>
    </w:p>
    <w:p w:rsidR="00503BD7" w:rsidRPr="00E345FB" w:rsidRDefault="00345A79" w:rsidP="00E345FB">
      <w:pPr>
        <w:pStyle w:val="SAP-Paragraph"/>
        <w:suppressAutoHyphens/>
        <w:spacing w:line="240" w:lineRule="auto"/>
        <w:ind w:firstLine="220"/>
        <w:rPr>
          <w:sz w:val="22"/>
          <w:szCs w:val="22"/>
          <w:lang w:val="en-GB"/>
        </w:rPr>
      </w:pPr>
      <w:r w:rsidRPr="00E345FB">
        <w:rPr>
          <w:sz w:val="22"/>
          <w:szCs w:val="22"/>
          <w:lang w:val="en-GB"/>
        </w:rPr>
        <w:t>The key authors and publications that impacted the review's progress were determined through citation analysis. The number of citations and citations per year can also be used to evaluate a researcher's productivity. This bibliometric metric is often used to quantify the significant influence of the focused research field, as reported by previous researchers in the area </w:t>
      </w:r>
      <w:r w:rsidR="00064DD5" w:rsidRPr="00E345FB">
        <w:rPr>
          <w:sz w:val="22"/>
          <w:szCs w:val="22"/>
          <w:lang w:val="en-GB"/>
        </w:rPr>
        <w:fldChar w:fldCharType="begin" w:fldLock="1"/>
      </w:r>
      <w:r w:rsidR="005C7D18" w:rsidRPr="00E345FB">
        <w:rPr>
          <w:sz w:val="22"/>
          <w:szCs w:val="22"/>
          <w:lang w:val="en-GB"/>
        </w:rPr>
        <w:instrText>ADDIN CSL_CITATION {"citationItems":[{"id":"ITEM-1","itemData":{"abstract":"FinTech, the word which is derived from “financial technology”, is the technology and innovation which their objectives are to offer better services and technologies in the financial services industry in the current and advanced technology age and the industrial revolution. Financial services such as banks, insurance, stock brokerage, investments and all other related services that manage money are nowadays depended more on the technology to gain competitive advantages and to help the decision- makers to make a better judgement for the businesses. With the growth of FinTech, there are various studies that have been conducted in this field. Thus, this study aims to present the current trend of the study on FinTech. This study adopted a bibliometric analysis based on the data obtained from the Scopus database. Based on the keywords used, which is related to the FinTech in the title of the article, the study manages to obtain 486 documents for further analysis. Various tools have been employed, such as Microsoft Excel to conduct the frequency analysis, VOSviewer for data visualization, and Harzing’s Publish or Perish for citation metrics and analysis. This study reports the results using standard bibliometric indicators such as publication year, document type, source type, source title, languages, subject area, keywords analysis, geographical distribution, authorship, active institutions, and citation analysis. Based on our findings, there is a tremendous growth of publications on FinTech over the years since 2015. The increasing number of works on FinTech indicates the importance of technology on the financial services industry, and there are for sure some impacts on the economy and public lifestyle. Keywords:","author":[{"dropping-particle":"","family":"Ahmi","given":"Aidi","non-dropping-particle":"","parse-names":false,"suffix":""},{"dropping-particle":"","family":"Tapa","given":"Afiruddin","non-dropping-particle":"","parse-names":false,"suffix":""},{"dropping-particle":"","family":"Hamzah","given":"Ahmad Husni","non-dropping-particle":"","parse-names":false,"suffix":""}],"container-title":"International Journal of Advanced Science and Technology","id":"ITEM-1","issue":"8","issued":{"date-parts":[["2020"]]},"page":"379-392","title":"Mapping of Financial Technology (FinTech) Research: A Bibliometric Analysis","type":"article-journal","volume":"29"},"uris":["http://www.mendeley.com/documents/?uuid=d39e3744-6005-47f0-a1e4-f5fae9a824ea"]},{"id":"ITEM-2","itemData":{"DOI":"10.1186/s12913-020-05544-4","ISBN":"1291302005544","ISSN":"14726963","PMID":"32709237","abstract":"Background: Medication adherence has been studied in different settings, with different approaches, and applying different methodologies. Nevertheless, our knowledge and efficacy are quite limited in terms of measuring and evaluating all the variables and components that affect the management of medication adherence regimes as a complex phenomenon. The study aim is mapping the state-of-the-art of medication adherence measurement and assessment methods applied in chronic conditions. Specifically, we are interested in what methods and assessment procedures are currently used to tackle medication adherence. We explore whether Big Data techniques are adopted to improve decision-making procedures regarding patients' adherence, and the possible role of digital technologies in supporting interventions for improving patient adherence and avoiding waste or harm. Methods: A scoping literature review and bibliometric analysis were used. Arksey and O'Malley's framework was adopted to scope the review process, and a bibliometric analysis was applied to observe the evolution of the scientific literature and identify specific characteristics of the related knowledge domain. Results: A total of 533 articles were retrieved from the Scopus academic database and selected for the bibliometric analysis. Sixty-one studies were identified and included in the final analysis. The Morisky medication adherence scale (36%) was the most frequently adopted baseline measurement tool, and cardiovascular/hypertension disease, the most investigated illness (38%). Heterogeneous findings emerged from the types of study design and the statistical methodologies used to assess and compare the results. Conclusions: Our findings reveal a lack of Big Data applications currently deployed to address or measure medication adherence in chronic conditions. Our study proposes a general framework to select the methods, measurements and the corpus of variables in which the treatment regime can be analyzed.","author":[{"dropping-particle":"","family":"Pirri","given":"Salvatore","non-dropping-particle":"","parse-names":false,"suffix":""},{"dropping-particle":"","family":"Lorenzoni","given":"Valentina","non-dropping-particle":"","parse-names":false,"suffix":""},{"dropping-particle":"","family":"Turchetti","given":"Giuseppe","non-dropping-particle":"","parse-names":false,"suffix":""}],"container-title":"BMC Health Services Research","id":"ITEM-2","issue":"1","issued":{"date-parts":[["2020"]]},"page":"1-23","publisher":"BMC Health Services Research","title":"Scoping review and bibliometric analysis of Big Data applications for Medication adherence: An explorative methodological study to enhance consistency in literature","type":"article-journal","volume":"20"},"uris":["http://www.mendeley.com/documents/?uuid=c62afcdf-f9ff-47b0-9afd-280097e605f3"]}],"mendeley":{"formattedCitation":"(Ahmi et al., 2020; Pirri et al., 2020)","plainTextFormattedCitation":"(Ahmi et al., 2020; Pirri et al., 2020)","previouslyFormattedCitation":"(Ahmi et al., 2020; Pirri et al., 2020)"},"properties":{"noteIndex":0},"schema":"https://github.com/citation-style-language/schema/raw/master/csl-citation.json"}</w:instrText>
      </w:r>
      <w:r w:rsidR="00064DD5" w:rsidRPr="00E345FB">
        <w:rPr>
          <w:sz w:val="22"/>
          <w:szCs w:val="22"/>
          <w:lang w:val="en-GB"/>
        </w:rPr>
        <w:fldChar w:fldCharType="separate"/>
      </w:r>
      <w:r w:rsidR="005C7D18" w:rsidRPr="00E345FB">
        <w:rPr>
          <w:noProof/>
          <w:sz w:val="22"/>
          <w:szCs w:val="22"/>
          <w:lang w:val="en-GB"/>
        </w:rPr>
        <w:t>(Ahmi et al., 2020; Pirri et al., 2020)</w:t>
      </w:r>
      <w:r w:rsidR="00064DD5" w:rsidRPr="00E345FB">
        <w:rPr>
          <w:sz w:val="22"/>
          <w:szCs w:val="22"/>
          <w:lang w:val="en-GB"/>
        </w:rPr>
        <w:fldChar w:fldCharType="end"/>
      </w:r>
      <w:r w:rsidRPr="00E345FB">
        <w:rPr>
          <w:sz w:val="22"/>
          <w:szCs w:val="22"/>
          <w:lang w:val="en-GB"/>
        </w:rPr>
        <w:t xml:space="preserve">. As of </w:t>
      </w:r>
      <w:r w:rsidRPr="00E345FB">
        <w:rPr>
          <w:sz w:val="22"/>
          <w:szCs w:val="22"/>
          <w:lang w:val="en-GB"/>
        </w:rPr>
        <w:lastRenderedPageBreak/>
        <w:t xml:space="preserve">March 2022, Table 5 summarises the citation metrics for the retrieved documents. Table 5 shows the overall number of citations for all retrieved publications </w:t>
      </w:r>
      <w:r w:rsidR="00497C52" w:rsidRPr="00E345FB">
        <w:rPr>
          <w:sz w:val="22"/>
          <w:szCs w:val="22"/>
          <w:lang w:val="en-GB"/>
        </w:rPr>
        <w:t>and</w:t>
      </w:r>
      <w:r w:rsidRPr="00E345FB">
        <w:rPr>
          <w:sz w:val="22"/>
          <w:szCs w:val="22"/>
          <w:lang w:val="en-GB"/>
        </w:rPr>
        <w:t xml:space="preserve"> the average number of citations per year. Thereshown, there were 19384 citations recorded for 1875 retrieved publications over 21 year </w:t>
      </w:r>
      <w:r w:rsidR="00497C52" w:rsidRPr="00E345FB">
        <w:rPr>
          <w:sz w:val="22"/>
          <w:szCs w:val="22"/>
          <w:lang w:val="en-GB"/>
        </w:rPr>
        <w:t>period</w:t>
      </w:r>
      <w:r w:rsidRPr="00E345FB">
        <w:rPr>
          <w:sz w:val="22"/>
          <w:szCs w:val="22"/>
          <w:lang w:val="en-GB"/>
        </w:rPr>
        <w:t>(2000-2021), with an average of 881.09 citations per year</w:t>
      </w:r>
      <w:r w:rsidR="00DC27AF" w:rsidRPr="00E345FB">
        <w:rPr>
          <w:sz w:val="22"/>
          <w:szCs w:val="22"/>
          <w:lang w:val="en-GB"/>
        </w:rPr>
        <w:t>and 10.34 citations/papers. The h index for records retrieved was 52.</w:t>
      </w:r>
    </w:p>
    <w:p w:rsidR="00503BD7" w:rsidRPr="00E345FB" w:rsidRDefault="00503BD7" w:rsidP="00E345FB">
      <w:pPr>
        <w:pStyle w:val="SAP-Paragraph"/>
        <w:suppressAutoHyphens/>
        <w:spacing w:line="240" w:lineRule="auto"/>
        <w:ind w:firstLine="220"/>
        <w:rPr>
          <w:sz w:val="22"/>
          <w:szCs w:val="22"/>
          <w:lang w:val="en-GB"/>
        </w:rPr>
      </w:pPr>
    </w:p>
    <w:p w:rsidR="00947AD3" w:rsidRDefault="00947AD3" w:rsidP="00E345FB">
      <w:pPr>
        <w:pStyle w:val="SAP-Paragraph"/>
        <w:suppressAutoHyphens/>
        <w:spacing w:line="240" w:lineRule="auto"/>
        <w:ind w:firstLineChars="0" w:firstLine="0"/>
        <w:rPr>
          <w:sz w:val="22"/>
          <w:szCs w:val="22"/>
          <w:lang w:val="en-GB"/>
        </w:rPr>
        <w:sectPr w:rsidR="00947AD3" w:rsidSect="00947AD3">
          <w:type w:val="continuous"/>
          <w:pgSz w:w="11907" w:h="16840" w:code="9"/>
          <w:pgMar w:top="1440" w:right="1440" w:bottom="1440" w:left="1440" w:header="709" w:footer="709" w:gutter="0"/>
          <w:cols w:num="2" w:space="284"/>
          <w:titlePg/>
          <w:docGrid w:linePitch="360"/>
        </w:sectPr>
      </w:pPr>
    </w:p>
    <w:p w:rsidR="0036746B" w:rsidRPr="00E345FB" w:rsidRDefault="0036746B" w:rsidP="00E345FB">
      <w:pPr>
        <w:pStyle w:val="SAP-Paragraph"/>
        <w:suppressAutoHyphens/>
        <w:spacing w:line="240" w:lineRule="auto"/>
        <w:ind w:firstLineChars="0" w:firstLine="0"/>
        <w:rPr>
          <w:sz w:val="22"/>
          <w:szCs w:val="22"/>
          <w:lang w:val="en-GB"/>
        </w:rPr>
      </w:pPr>
    </w:p>
    <w:p w:rsidR="00B0491E" w:rsidRPr="00E345FB" w:rsidRDefault="00B0491E" w:rsidP="00E345FB">
      <w:pPr>
        <w:pStyle w:val="SAP-TableHeadingSingleline"/>
        <w:suppressAutoHyphens/>
        <w:spacing w:before="0" w:after="0" w:line="240" w:lineRule="auto"/>
        <w:rPr>
          <w:bCs w:val="0"/>
          <w:sz w:val="22"/>
          <w:szCs w:val="22"/>
          <w:lang w:val="en-GB"/>
        </w:rPr>
      </w:pPr>
      <w:r w:rsidRPr="00E345FB">
        <w:rPr>
          <w:b/>
          <w:sz w:val="22"/>
          <w:szCs w:val="22"/>
          <w:lang w:val="en-GB"/>
        </w:rPr>
        <w:t xml:space="preserve">Table </w:t>
      </w:r>
      <w:r w:rsidR="005568CB" w:rsidRPr="00E345FB">
        <w:rPr>
          <w:b/>
          <w:sz w:val="22"/>
          <w:szCs w:val="22"/>
          <w:lang w:val="en-GB"/>
        </w:rPr>
        <w:t>5</w:t>
      </w:r>
      <w:r w:rsidRPr="00E345FB">
        <w:rPr>
          <w:b/>
          <w:sz w:val="22"/>
          <w:szCs w:val="22"/>
          <w:lang w:val="en-GB"/>
        </w:rPr>
        <w:t>.</w:t>
      </w:r>
      <w:r w:rsidRPr="00E345FB">
        <w:rPr>
          <w:bCs w:val="0"/>
          <w:sz w:val="22"/>
          <w:szCs w:val="22"/>
          <w:lang w:val="en-GB"/>
        </w:rPr>
        <w:t xml:space="preserve"> Citations Metrics</w:t>
      </w:r>
      <w:r w:rsidR="0090493F" w:rsidRPr="00E345FB">
        <w:rPr>
          <w:bCs w:val="0"/>
          <w:sz w:val="22"/>
          <w:szCs w:val="22"/>
          <w:lang w:val="en-GB"/>
        </w:rPr>
        <w:t>.</w:t>
      </w:r>
    </w:p>
    <w:tbl>
      <w:tblPr>
        <w:tblW w:w="2512" w:type="pct"/>
        <w:jc w:val="center"/>
        <w:tblBorders>
          <w:top w:val="single" w:sz="4" w:space="0" w:color="auto"/>
          <w:bottom w:val="single" w:sz="4" w:space="0" w:color="auto"/>
        </w:tblBorders>
        <w:tblLook w:val="01E0"/>
      </w:tblPr>
      <w:tblGrid>
        <w:gridCol w:w="2032"/>
        <w:gridCol w:w="2612"/>
      </w:tblGrid>
      <w:tr w:rsidR="00B0491E" w:rsidRPr="00E345FB" w:rsidTr="00B0491E">
        <w:trPr>
          <w:jc w:val="center"/>
        </w:trPr>
        <w:tc>
          <w:tcPr>
            <w:tcW w:w="2188" w:type="pct"/>
            <w:tcBorders>
              <w:top w:val="single" w:sz="4" w:space="0" w:color="auto"/>
              <w:bottom w:val="single" w:sz="4" w:space="0" w:color="auto"/>
            </w:tcBorders>
            <w:shd w:val="clear" w:color="auto" w:fill="auto"/>
            <w:vAlign w:val="center"/>
          </w:tcPr>
          <w:p w:rsidR="00B0491E" w:rsidRPr="00E345FB" w:rsidRDefault="00B0491E" w:rsidP="00E345FB">
            <w:pPr>
              <w:suppressAutoHyphens/>
              <w:jc w:val="both"/>
              <w:rPr>
                <w:b/>
                <w:color w:val="000000"/>
                <w:sz w:val="22"/>
                <w:szCs w:val="22"/>
                <w:lang w:val="en-GB" w:eastAsia="en-US"/>
              </w:rPr>
            </w:pPr>
            <w:r w:rsidRPr="00E345FB">
              <w:rPr>
                <w:b/>
                <w:color w:val="000000"/>
                <w:sz w:val="22"/>
                <w:szCs w:val="22"/>
                <w:lang w:val="en-GB"/>
              </w:rPr>
              <w:t>Metrics</w:t>
            </w:r>
          </w:p>
        </w:tc>
        <w:tc>
          <w:tcPr>
            <w:tcW w:w="2812" w:type="pct"/>
            <w:tcBorders>
              <w:top w:val="single" w:sz="4" w:space="0" w:color="auto"/>
              <w:bottom w:val="single" w:sz="4" w:space="0" w:color="auto"/>
            </w:tcBorders>
            <w:shd w:val="clear" w:color="auto" w:fill="auto"/>
            <w:vAlign w:val="center"/>
          </w:tcPr>
          <w:p w:rsidR="00B0491E" w:rsidRPr="00E345FB" w:rsidRDefault="00B0491E" w:rsidP="00E345FB">
            <w:pPr>
              <w:suppressAutoHyphens/>
              <w:jc w:val="both"/>
              <w:rPr>
                <w:b/>
                <w:color w:val="000000"/>
                <w:sz w:val="22"/>
                <w:szCs w:val="22"/>
                <w:lang w:val="en-GB"/>
              </w:rPr>
            </w:pPr>
            <w:r w:rsidRPr="00E345FB">
              <w:rPr>
                <w:b/>
                <w:color w:val="000000"/>
                <w:sz w:val="22"/>
                <w:szCs w:val="22"/>
                <w:lang w:val="en-GB"/>
              </w:rPr>
              <w:t>Data</w:t>
            </w:r>
          </w:p>
        </w:tc>
      </w:tr>
      <w:tr w:rsidR="00B0491E" w:rsidRPr="00E345FB" w:rsidTr="00B0491E">
        <w:trPr>
          <w:jc w:val="center"/>
        </w:trPr>
        <w:tc>
          <w:tcPr>
            <w:tcW w:w="2188" w:type="pct"/>
            <w:shd w:val="clear" w:color="auto" w:fill="auto"/>
            <w:vAlign w:val="bottom"/>
          </w:tcPr>
          <w:p w:rsidR="00B0491E" w:rsidRPr="00E345FB" w:rsidRDefault="00B0491E" w:rsidP="00E345FB">
            <w:pPr>
              <w:suppressAutoHyphens/>
              <w:jc w:val="both"/>
              <w:rPr>
                <w:color w:val="000000"/>
                <w:sz w:val="22"/>
                <w:szCs w:val="22"/>
                <w:lang w:val="en-GB"/>
              </w:rPr>
            </w:pPr>
            <w:r w:rsidRPr="00E345FB">
              <w:rPr>
                <w:color w:val="000000"/>
                <w:sz w:val="22"/>
                <w:szCs w:val="22"/>
              </w:rPr>
              <w:t>Papers</w:t>
            </w:r>
          </w:p>
        </w:tc>
        <w:tc>
          <w:tcPr>
            <w:tcW w:w="2812" w:type="pct"/>
            <w:shd w:val="clear" w:color="auto" w:fill="auto"/>
          </w:tcPr>
          <w:p w:rsidR="00B0491E" w:rsidRPr="00E345FB" w:rsidRDefault="00B0491E" w:rsidP="00E345FB">
            <w:pPr>
              <w:suppressAutoHyphens/>
              <w:jc w:val="both"/>
              <w:rPr>
                <w:color w:val="000000"/>
                <w:sz w:val="22"/>
                <w:szCs w:val="22"/>
                <w:lang w:val="en-GB"/>
              </w:rPr>
            </w:pPr>
            <w:r w:rsidRPr="00E345FB">
              <w:rPr>
                <w:sz w:val="22"/>
                <w:szCs w:val="22"/>
              </w:rPr>
              <w:t>1875</w:t>
            </w:r>
          </w:p>
        </w:tc>
      </w:tr>
      <w:tr w:rsidR="00B0491E" w:rsidRPr="00E345FB" w:rsidTr="00B0491E">
        <w:trPr>
          <w:jc w:val="center"/>
        </w:trPr>
        <w:tc>
          <w:tcPr>
            <w:tcW w:w="2188" w:type="pct"/>
            <w:shd w:val="clear" w:color="auto" w:fill="auto"/>
            <w:vAlign w:val="bottom"/>
          </w:tcPr>
          <w:p w:rsidR="00B0491E" w:rsidRPr="00E345FB" w:rsidRDefault="00B0491E" w:rsidP="00E345FB">
            <w:pPr>
              <w:suppressAutoHyphens/>
              <w:jc w:val="both"/>
              <w:rPr>
                <w:color w:val="000000"/>
                <w:sz w:val="22"/>
                <w:szCs w:val="22"/>
              </w:rPr>
            </w:pPr>
            <w:r w:rsidRPr="00E345FB">
              <w:rPr>
                <w:color w:val="000000"/>
                <w:sz w:val="22"/>
                <w:szCs w:val="22"/>
              </w:rPr>
              <w:t>Number of Citations</w:t>
            </w:r>
          </w:p>
        </w:tc>
        <w:tc>
          <w:tcPr>
            <w:tcW w:w="2812" w:type="pct"/>
            <w:shd w:val="clear" w:color="auto" w:fill="auto"/>
          </w:tcPr>
          <w:p w:rsidR="00B0491E" w:rsidRPr="00E345FB" w:rsidRDefault="00B0491E" w:rsidP="00E345FB">
            <w:pPr>
              <w:suppressAutoHyphens/>
              <w:jc w:val="both"/>
              <w:rPr>
                <w:color w:val="000000"/>
                <w:sz w:val="22"/>
                <w:szCs w:val="22"/>
                <w:lang w:val="en-GB"/>
              </w:rPr>
            </w:pPr>
            <w:bookmarkStart w:id="10" w:name="_Hlk99353777"/>
            <w:r w:rsidRPr="00E345FB">
              <w:rPr>
                <w:sz w:val="22"/>
                <w:szCs w:val="22"/>
              </w:rPr>
              <w:t>19384</w:t>
            </w:r>
            <w:bookmarkEnd w:id="10"/>
          </w:p>
        </w:tc>
      </w:tr>
      <w:tr w:rsidR="00B0491E" w:rsidRPr="00E345FB" w:rsidTr="00B0491E">
        <w:trPr>
          <w:jc w:val="center"/>
        </w:trPr>
        <w:tc>
          <w:tcPr>
            <w:tcW w:w="2188" w:type="pct"/>
            <w:shd w:val="clear" w:color="auto" w:fill="auto"/>
            <w:vAlign w:val="bottom"/>
          </w:tcPr>
          <w:p w:rsidR="00B0491E" w:rsidRPr="00E345FB" w:rsidRDefault="00B0491E" w:rsidP="00E345FB">
            <w:pPr>
              <w:suppressAutoHyphens/>
              <w:jc w:val="both"/>
              <w:rPr>
                <w:color w:val="000000"/>
                <w:sz w:val="22"/>
                <w:szCs w:val="22"/>
                <w:lang w:val="en-GB"/>
              </w:rPr>
            </w:pPr>
            <w:r w:rsidRPr="00E345FB">
              <w:rPr>
                <w:color w:val="000000"/>
                <w:sz w:val="22"/>
                <w:szCs w:val="22"/>
              </w:rPr>
              <w:t>Years</w:t>
            </w:r>
          </w:p>
        </w:tc>
        <w:tc>
          <w:tcPr>
            <w:tcW w:w="2812" w:type="pct"/>
            <w:shd w:val="clear" w:color="auto" w:fill="auto"/>
          </w:tcPr>
          <w:p w:rsidR="00B0491E" w:rsidRPr="00E345FB" w:rsidRDefault="00B0491E" w:rsidP="00E345FB">
            <w:pPr>
              <w:suppressAutoHyphens/>
              <w:jc w:val="both"/>
              <w:rPr>
                <w:color w:val="000000"/>
                <w:sz w:val="22"/>
                <w:szCs w:val="22"/>
                <w:lang w:val="en-GB"/>
              </w:rPr>
            </w:pPr>
            <w:r w:rsidRPr="00E345FB">
              <w:rPr>
                <w:color w:val="000000"/>
                <w:sz w:val="22"/>
                <w:szCs w:val="22"/>
              </w:rPr>
              <w:t>21</w:t>
            </w:r>
          </w:p>
        </w:tc>
      </w:tr>
      <w:tr w:rsidR="00B0491E" w:rsidRPr="00E345FB" w:rsidTr="00B0491E">
        <w:trPr>
          <w:jc w:val="center"/>
        </w:trPr>
        <w:tc>
          <w:tcPr>
            <w:tcW w:w="2188" w:type="pct"/>
            <w:shd w:val="clear" w:color="auto" w:fill="auto"/>
            <w:vAlign w:val="bottom"/>
          </w:tcPr>
          <w:p w:rsidR="00B0491E" w:rsidRPr="00E345FB" w:rsidRDefault="00B0491E" w:rsidP="00E345FB">
            <w:pPr>
              <w:suppressAutoHyphens/>
              <w:jc w:val="both"/>
              <w:rPr>
                <w:color w:val="000000"/>
                <w:sz w:val="22"/>
                <w:szCs w:val="22"/>
                <w:lang w:val="en-GB"/>
              </w:rPr>
            </w:pPr>
            <w:r w:rsidRPr="00E345FB">
              <w:rPr>
                <w:color w:val="000000"/>
                <w:sz w:val="22"/>
                <w:szCs w:val="22"/>
              </w:rPr>
              <w:t xml:space="preserve">Citations </w:t>
            </w:r>
            <w:r w:rsidR="00497C52" w:rsidRPr="00E345FB">
              <w:rPr>
                <w:color w:val="000000"/>
                <w:sz w:val="22"/>
                <w:szCs w:val="22"/>
              </w:rPr>
              <w:t>Per</w:t>
            </w:r>
            <w:r w:rsidRPr="00E345FB">
              <w:rPr>
                <w:color w:val="000000"/>
                <w:sz w:val="22"/>
                <w:szCs w:val="22"/>
              </w:rPr>
              <w:t xml:space="preserve"> Year</w:t>
            </w:r>
          </w:p>
        </w:tc>
        <w:tc>
          <w:tcPr>
            <w:tcW w:w="2812" w:type="pct"/>
            <w:shd w:val="clear" w:color="auto" w:fill="auto"/>
          </w:tcPr>
          <w:p w:rsidR="00B0491E" w:rsidRPr="00E345FB" w:rsidRDefault="00B0491E" w:rsidP="00E345FB">
            <w:pPr>
              <w:suppressAutoHyphens/>
              <w:jc w:val="both"/>
              <w:rPr>
                <w:color w:val="000000"/>
                <w:sz w:val="22"/>
                <w:szCs w:val="22"/>
                <w:lang w:val="en-GB"/>
              </w:rPr>
            </w:pPr>
            <w:bookmarkStart w:id="11" w:name="_Hlk99353973"/>
            <w:r w:rsidRPr="00E345FB">
              <w:rPr>
                <w:sz w:val="22"/>
                <w:szCs w:val="22"/>
              </w:rPr>
              <w:t>881.09</w:t>
            </w:r>
            <w:bookmarkEnd w:id="11"/>
          </w:p>
        </w:tc>
      </w:tr>
      <w:tr w:rsidR="00B0491E" w:rsidRPr="00E345FB" w:rsidTr="00B0491E">
        <w:trPr>
          <w:jc w:val="center"/>
        </w:trPr>
        <w:tc>
          <w:tcPr>
            <w:tcW w:w="2188" w:type="pct"/>
            <w:shd w:val="clear" w:color="auto" w:fill="auto"/>
            <w:vAlign w:val="bottom"/>
          </w:tcPr>
          <w:p w:rsidR="00B0491E" w:rsidRPr="00E345FB" w:rsidRDefault="00B0491E" w:rsidP="00E345FB">
            <w:pPr>
              <w:suppressAutoHyphens/>
              <w:jc w:val="both"/>
              <w:rPr>
                <w:color w:val="000000"/>
                <w:sz w:val="22"/>
                <w:szCs w:val="22"/>
                <w:lang w:val="en-GB"/>
              </w:rPr>
            </w:pPr>
            <w:r w:rsidRPr="00E345FB">
              <w:rPr>
                <w:color w:val="000000"/>
                <w:sz w:val="22"/>
                <w:szCs w:val="22"/>
              </w:rPr>
              <w:t>Citations per Paper</w:t>
            </w:r>
          </w:p>
        </w:tc>
        <w:tc>
          <w:tcPr>
            <w:tcW w:w="2812" w:type="pct"/>
            <w:shd w:val="clear" w:color="auto" w:fill="auto"/>
          </w:tcPr>
          <w:p w:rsidR="00B0491E" w:rsidRPr="00E345FB" w:rsidRDefault="00B0491E" w:rsidP="00E345FB">
            <w:pPr>
              <w:suppressAutoHyphens/>
              <w:jc w:val="both"/>
              <w:rPr>
                <w:color w:val="000000"/>
                <w:sz w:val="22"/>
                <w:szCs w:val="22"/>
                <w:lang w:val="en-GB"/>
              </w:rPr>
            </w:pPr>
            <w:bookmarkStart w:id="12" w:name="_Hlk99353929"/>
            <w:r w:rsidRPr="00E345FB">
              <w:rPr>
                <w:sz w:val="22"/>
                <w:szCs w:val="22"/>
              </w:rPr>
              <w:t>10.34</w:t>
            </w:r>
            <w:bookmarkEnd w:id="12"/>
          </w:p>
        </w:tc>
      </w:tr>
      <w:tr w:rsidR="00B0491E" w:rsidRPr="00E345FB" w:rsidTr="00B0491E">
        <w:trPr>
          <w:jc w:val="center"/>
        </w:trPr>
        <w:tc>
          <w:tcPr>
            <w:tcW w:w="2188" w:type="pct"/>
            <w:shd w:val="clear" w:color="auto" w:fill="auto"/>
            <w:vAlign w:val="bottom"/>
          </w:tcPr>
          <w:p w:rsidR="00B0491E" w:rsidRPr="00E345FB" w:rsidRDefault="00B0491E" w:rsidP="00E345FB">
            <w:pPr>
              <w:suppressAutoHyphens/>
              <w:jc w:val="both"/>
              <w:rPr>
                <w:color w:val="000000"/>
                <w:sz w:val="22"/>
                <w:szCs w:val="22"/>
                <w:lang w:val="en-GB"/>
              </w:rPr>
            </w:pPr>
            <w:r w:rsidRPr="00E345FB">
              <w:rPr>
                <w:color w:val="000000"/>
                <w:sz w:val="22"/>
                <w:szCs w:val="22"/>
              </w:rPr>
              <w:t>Cites_Author</w:t>
            </w:r>
          </w:p>
        </w:tc>
        <w:tc>
          <w:tcPr>
            <w:tcW w:w="2812" w:type="pct"/>
            <w:shd w:val="clear" w:color="auto" w:fill="auto"/>
          </w:tcPr>
          <w:p w:rsidR="00B0491E" w:rsidRPr="00E345FB" w:rsidRDefault="00B0491E" w:rsidP="00E345FB">
            <w:pPr>
              <w:suppressAutoHyphens/>
              <w:jc w:val="both"/>
              <w:rPr>
                <w:color w:val="000000"/>
                <w:sz w:val="22"/>
                <w:szCs w:val="22"/>
                <w:lang w:val="en-GB"/>
              </w:rPr>
            </w:pPr>
            <w:r w:rsidRPr="00E345FB">
              <w:rPr>
                <w:color w:val="000000"/>
                <w:sz w:val="22"/>
                <w:szCs w:val="22"/>
                <w:lang w:val="en-GB"/>
              </w:rPr>
              <w:t>10414.34</w:t>
            </w:r>
          </w:p>
        </w:tc>
      </w:tr>
      <w:tr w:rsidR="00B0491E" w:rsidRPr="00E345FB" w:rsidTr="00B0491E">
        <w:trPr>
          <w:jc w:val="center"/>
        </w:trPr>
        <w:tc>
          <w:tcPr>
            <w:tcW w:w="2188" w:type="pct"/>
            <w:shd w:val="clear" w:color="auto" w:fill="auto"/>
            <w:vAlign w:val="bottom"/>
          </w:tcPr>
          <w:p w:rsidR="00B0491E" w:rsidRPr="00E345FB" w:rsidRDefault="00B0491E" w:rsidP="00E345FB">
            <w:pPr>
              <w:suppressAutoHyphens/>
              <w:jc w:val="both"/>
              <w:rPr>
                <w:color w:val="000000"/>
                <w:sz w:val="22"/>
                <w:szCs w:val="22"/>
                <w:lang w:val="en-GB"/>
              </w:rPr>
            </w:pPr>
            <w:r w:rsidRPr="00E345FB">
              <w:rPr>
                <w:color w:val="000000"/>
                <w:sz w:val="22"/>
                <w:szCs w:val="22"/>
              </w:rPr>
              <w:t>Papers_Author</w:t>
            </w:r>
          </w:p>
        </w:tc>
        <w:tc>
          <w:tcPr>
            <w:tcW w:w="2812" w:type="pct"/>
            <w:shd w:val="clear" w:color="auto" w:fill="auto"/>
          </w:tcPr>
          <w:p w:rsidR="00B0491E" w:rsidRPr="00E345FB" w:rsidRDefault="00B0491E" w:rsidP="00E345FB">
            <w:pPr>
              <w:suppressAutoHyphens/>
              <w:jc w:val="both"/>
              <w:rPr>
                <w:color w:val="000000"/>
                <w:sz w:val="22"/>
                <w:szCs w:val="22"/>
                <w:lang w:val="en-GB"/>
              </w:rPr>
            </w:pPr>
            <w:r w:rsidRPr="00E345FB">
              <w:rPr>
                <w:color w:val="000000"/>
                <w:sz w:val="22"/>
                <w:szCs w:val="22"/>
                <w:lang w:val="en-GB"/>
              </w:rPr>
              <w:t>940.38</w:t>
            </w:r>
          </w:p>
        </w:tc>
      </w:tr>
      <w:tr w:rsidR="00B0491E" w:rsidRPr="00E345FB" w:rsidTr="00B0491E">
        <w:trPr>
          <w:jc w:val="center"/>
        </w:trPr>
        <w:tc>
          <w:tcPr>
            <w:tcW w:w="2188" w:type="pct"/>
            <w:shd w:val="clear" w:color="auto" w:fill="auto"/>
            <w:vAlign w:val="bottom"/>
          </w:tcPr>
          <w:p w:rsidR="00B0491E" w:rsidRPr="00E345FB" w:rsidRDefault="00B0491E" w:rsidP="00E345FB">
            <w:pPr>
              <w:suppressAutoHyphens/>
              <w:jc w:val="both"/>
              <w:rPr>
                <w:color w:val="000000"/>
                <w:sz w:val="22"/>
                <w:szCs w:val="22"/>
                <w:lang w:val="en-GB"/>
              </w:rPr>
            </w:pPr>
            <w:r w:rsidRPr="00E345FB">
              <w:rPr>
                <w:color w:val="000000"/>
                <w:sz w:val="22"/>
                <w:szCs w:val="22"/>
              </w:rPr>
              <w:t>Authors_Paper</w:t>
            </w:r>
          </w:p>
        </w:tc>
        <w:tc>
          <w:tcPr>
            <w:tcW w:w="2812" w:type="pct"/>
            <w:shd w:val="clear" w:color="auto" w:fill="auto"/>
          </w:tcPr>
          <w:p w:rsidR="00B0491E" w:rsidRPr="00E345FB" w:rsidRDefault="00B0491E" w:rsidP="00E345FB">
            <w:pPr>
              <w:suppressAutoHyphens/>
              <w:jc w:val="both"/>
              <w:rPr>
                <w:color w:val="000000"/>
                <w:sz w:val="22"/>
                <w:szCs w:val="22"/>
                <w:lang w:val="en-GB"/>
              </w:rPr>
            </w:pPr>
            <w:r w:rsidRPr="00E345FB">
              <w:rPr>
                <w:color w:val="000000"/>
                <w:sz w:val="22"/>
                <w:szCs w:val="22"/>
                <w:lang w:val="en-GB"/>
              </w:rPr>
              <w:t>2.79</w:t>
            </w:r>
          </w:p>
        </w:tc>
      </w:tr>
      <w:tr w:rsidR="00B0491E" w:rsidRPr="00E345FB" w:rsidTr="00B0491E">
        <w:trPr>
          <w:jc w:val="center"/>
        </w:trPr>
        <w:tc>
          <w:tcPr>
            <w:tcW w:w="2188" w:type="pct"/>
            <w:shd w:val="clear" w:color="auto" w:fill="auto"/>
            <w:vAlign w:val="bottom"/>
          </w:tcPr>
          <w:p w:rsidR="00B0491E" w:rsidRPr="00E345FB" w:rsidRDefault="00B0491E" w:rsidP="00E345FB">
            <w:pPr>
              <w:suppressAutoHyphens/>
              <w:jc w:val="both"/>
              <w:rPr>
                <w:color w:val="000000"/>
                <w:sz w:val="22"/>
                <w:szCs w:val="22"/>
                <w:lang w:val="en-GB"/>
              </w:rPr>
            </w:pPr>
            <w:r w:rsidRPr="00E345FB">
              <w:rPr>
                <w:color w:val="000000"/>
                <w:sz w:val="22"/>
                <w:szCs w:val="22"/>
              </w:rPr>
              <w:t>h_index</w:t>
            </w:r>
          </w:p>
        </w:tc>
        <w:tc>
          <w:tcPr>
            <w:tcW w:w="2812" w:type="pct"/>
            <w:shd w:val="clear" w:color="auto" w:fill="auto"/>
          </w:tcPr>
          <w:p w:rsidR="00B0491E" w:rsidRPr="00E345FB" w:rsidRDefault="00B0491E" w:rsidP="00E345FB">
            <w:pPr>
              <w:suppressAutoHyphens/>
              <w:jc w:val="both"/>
              <w:rPr>
                <w:color w:val="000000"/>
                <w:sz w:val="22"/>
                <w:szCs w:val="22"/>
                <w:lang w:val="en-GB"/>
              </w:rPr>
            </w:pPr>
            <w:r w:rsidRPr="00E345FB">
              <w:rPr>
                <w:sz w:val="22"/>
                <w:szCs w:val="22"/>
              </w:rPr>
              <w:t>127</w:t>
            </w:r>
          </w:p>
        </w:tc>
      </w:tr>
      <w:tr w:rsidR="00B0491E" w:rsidRPr="00E345FB" w:rsidTr="00B0491E">
        <w:trPr>
          <w:jc w:val="center"/>
        </w:trPr>
        <w:tc>
          <w:tcPr>
            <w:tcW w:w="2188" w:type="pct"/>
            <w:shd w:val="clear" w:color="auto" w:fill="auto"/>
            <w:vAlign w:val="bottom"/>
          </w:tcPr>
          <w:p w:rsidR="00B0491E" w:rsidRPr="00E345FB" w:rsidRDefault="00B0491E" w:rsidP="00E345FB">
            <w:pPr>
              <w:suppressAutoHyphens/>
              <w:jc w:val="both"/>
              <w:rPr>
                <w:color w:val="000000"/>
                <w:sz w:val="22"/>
                <w:szCs w:val="22"/>
                <w:lang w:val="en-GB"/>
              </w:rPr>
            </w:pPr>
            <w:r w:rsidRPr="00E345FB">
              <w:rPr>
                <w:color w:val="000000"/>
                <w:sz w:val="22"/>
                <w:szCs w:val="22"/>
              </w:rPr>
              <w:t>g_index</w:t>
            </w:r>
          </w:p>
        </w:tc>
        <w:tc>
          <w:tcPr>
            <w:tcW w:w="2812" w:type="pct"/>
            <w:shd w:val="clear" w:color="auto" w:fill="auto"/>
          </w:tcPr>
          <w:p w:rsidR="00B0491E" w:rsidRPr="00E345FB" w:rsidRDefault="00B0491E" w:rsidP="00E345FB">
            <w:pPr>
              <w:suppressAutoHyphens/>
              <w:jc w:val="both"/>
              <w:rPr>
                <w:color w:val="000000"/>
                <w:sz w:val="22"/>
                <w:szCs w:val="22"/>
                <w:lang w:val="en-GB"/>
              </w:rPr>
            </w:pPr>
            <w:r w:rsidRPr="00E345FB">
              <w:rPr>
                <w:sz w:val="22"/>
                <w:szCs w:val="22"/>
              </w:rPr>
              <w:t>220</w:t>
            </w:r>
          </w:p>
        </w:tc>
      </w:tr>
    </w:tbl>
    <w:p w:rsidR="00947AD3" w:rsidRDefault="00947AD3" w:rsidP="00E345FB">
      <w:pPr>
        <w:pStyle w:val="SAP-Paragraph"/>
        <w:suppressAutoHyphens/>
        <w:spacing w:line="240" w:lineRule="auto"/>
        <w:ind w:firstLineChars="0" w:firstLine="0"/>
        <w:rPr>
          <w:sz w:val="22"/>
          <w:szCs w:val="22"/>
          <w:lang w:val="en-GB"/>
        </w:rPr>
        <w:sectPr w:rsidR="00947AD3" w:rsidSect="000479B9">
          <w:type w:val="continuous"/>
          <w:pgSz w:w="11907" w:h="16840" w:code="9"/>
          <w:pgMar w:top="1440" w:right="1440" w:bottom="1440" w:left="1440" w:header="709" w:footer="709" w:gutter="0"/>
          <w:cols w:space="284"/>
          <w:titlePg/>
          <w:docGrid w:linePitch="360"/>
        </w:sectPr>
      </w:pPr>
    </w:p>
    <w:p w:rsidR="00B42484" w:rsidRPr="00E345FB" w:rsidRDefault="00B42484" w:rsidP="00E345FB">
      <w:pPr>
        <w:pStyle w:val="SAP-Paragraph"/>
        <w:suppressAutoHyphens/>
        <w:spacing w:line="240" w:lineRule="auto"/>
        <w:ind w:firstLineChars="0" w:firstLine="0"/>
        <w:rPr>
          <w:sz w:val="22"/>
          <w:szCs w:val="22"/>
          <w:lang w:val="en-GB"/>
        </w:rPr>
      </w:pPr>
    </w:p>
    <w:p w:rsidR="00B42484" w:rsidRPr="00E345FB" w:rsidRDefault="00587395" w:rsidP="00E345FB">
      <w:pPr>
        <w:pStyle w:val="SAP-Paragraph"/>
        <w:suppressAutoHyphens/>
        <w:spacing w:line="240" w:lineRule="auto"/>
        <w:ind w:firstLineChars="0" w:firstLine="0"/>
        <w:rPr>
          <w:sz w:val="22"/>
          <w:szCs w:val="22"/>
          <w:lang w:val="en-GB"/>
        </w:rPr>
      </w:pPr>
      <w:r w:rsidRPr="00E345FB">
        <w:rPr>
          <w:sz w:val="22"/>
          <w:szCs w:val="22"/>
          <w:lang w:val="en-GB"/>
        </w:rPr>
        <w:t xml:space="preserve">Table 6 shows the top 10 highly cited topics of design thinking. "Engineering design thinking, teaching, and learning," the article with the most citations, was published in the Journal of Engineering Education in 2005. It garnered a record of 2058 citations, giving it the most significant article in terms of citations per year (121.06). L.J. Leifer is the article's co-author and is recognized as the second most prolific author. This journal provides research and studies related to design in engineering education. The research </w:t>
      </w:r>
      <w:r w:rsidR="00497C52" w:rsidRPr="00E345FB">
        <w:rPr>
          <w:sz w:val="22"/>
          <w:szCs w:val="22"/>
          <w:lang w:val="en-GB"/>
        </w:rPr>
        <w:t>on</w:t>
      </w:r>
      <w:r w:rsidRPr="00E345FB">
        <w:rPr>
          <w:sz w:val="22"/>
          <w:szCs w:val="22"/>
          <w:lang w:val="en-GB"/>
        </w:rPr>
        <w:t xml:space="preserve"> how design thinking skills are learned across several dimensions of design thinking is then detailed.</w:t>
      </w:r>
    </w:p>
    <w:p w:rsidR="00587395" w:rsidRPr="00E345FB" w:rsidRDefault="00587395" w:rsidP="00E345FB">
      <w:pPr>
        <w:pStyle w:val="SAP-Paragraph"/>
        <w:suppressAutoHyphens/>
        <w:spacing w:line="240" w:lineRule="auto"/>
        <w:ind w:firstLineChars="0" w:firstLine="0"/>
        <w:rPr>
          <w:sz w:val="22"/>
          <w:szCs w:val="22"/>
          <w:lang w:val="en-GB"/>
        </w:rPr>
      </w:pPr>
    </w:p>
    <w:p w:rsidR="00B42484" w:rsidRPr="00E345FB" w:rsidRDefault="00960461" w:rsidP="00E345FB">
      <w:pPr>
        <w:pStyle w:val="SAP-Paragraph"/>
        <w:suppressAutoHyphens/>
        <w:spacing w:line="240" w:lineRule="auto"/>
        <w:ind w:firstLineChars="0" w:firstLine="0"/>
        <w:rPr>
          <w:sz w:val="22"/>
          <w:szCs w:val="22"/>
          <w:lang w:val="en-GB"/>
        </w:rPr>
      </w:pPr>
      <w:r w:rsidRPr="00E345FB">
        <w:rPr>
          <w:sz w:val="22"/>
          <w:szCs w:val="22"/>
          <w:lang w:val="en-GB"/>
        </w:rPr>
        <w:lastRenderedPageBreak/>
        <w:t xml:space="preserve">Literature articles or documents on the areas of (a) </w:t>
      </w:r>
      <w:r w:rsidR="0090493F" w:rsidRPr="00E345FB">
        <w:rPr>
          <w:sz w:val="22"/>
          <w:szCs w:val="22"/>
          <w:lang w:val="en-GB"/>
        </w:rPr>
        <w:t>human-centered design</w:t>
      </w:r>
      <w:r w:rsidRPr="00E345FB">
        <w:rPr>
          <w:sz w:val="22"/>
          <w:szCs w:val="22"/>
          <w:lang w:val="en-GB"/>
        </w:rPr>
        <w:t xml:space="preserve"> (b) </w:t>
      </w:r>
      <w:r w:rsidR="0090493F" w:rsidRPr="00E345FB">
        <w:rPr>
          <w:sz w:val="22"/>
          <w:szCs w:val="22"/>
          <w:lang w:val="en-GB"/>
        </w:rPr>
        <w:t>innovation process</w:t>
      </w:r>
      <w:r w:rsidRPr="00E345FB">
        <w:rPr>
          <w:sz w:val="22"/>
          <w:szCs w:val="22"/>
          <w:lang w:val="en-GB"/>
        </w:rPr>
        <w:t xml:space="preserve"> (c) </w:t>
      </w:r>
      <w:r w:rsidR="0090493F" w:rsidRPr="00E345FB">
        <w:rPr>
          <w:sz w:val="22"/>
          <w:szCs w:val="22"/>
          <w:lang w:val="en-GB"/>
        </w:rPr>
        <w:t>design education</w:t>
      </w:r>
      <w:r w:rsidRPr="00E345FB">
        <w:rPr>
          <w:sz w:val="22"/>
          <w:szCs w:val="22"/>
          <w:lang w:val="en-GB"/>
        </w:rPr>
        <w:t xml:space="preserve"> (d) </w:t>
      </w:r>
      <w:r w:rsidR="0090493F" w:rsidRPr="00E345FB">
        <w:rPr>
          <w:sz w:val="22"/>
          <w:szCs w:val="22"/>
          <w:lang w:val="en-GB"/>
        </w:rPr>
        <w:t>cy</w:t>
      </w:r>
      <w:r w:rsidRPr="00E345FB">
        <w:rPr>
          <w:sz w:val="22"/>
          <w:szCs w:val="22"/>
          <w:lang w:val="en-GB"/>
        </w:rPr>
        <w:t xml:space="preserve">bernetics (e) management education and (f) </w:t>
      </w:r>
      <w:r w:rsidR="0090493F" w:rsidRPr="00E345FB">
        <w:rPr>
          <w:sz w:val="22"/>
          <w:szCs w:val="22"/>
          <w:lang w:val="en-GB"/>
        </w:rPr>
        <w:t>competence belief</w:t>
      </w:r>
      <w:r w:rsidRPr="00E345FB">
        <w:rPr>
          <w:sz w:val="22"/>
          <w:szCs w:val="22"/>
          <w:lang w:val="en-GB"/>
        </w:rPr>
        <w:t xml:space="preserve">s were also widely recognized. The reference </w:t>
      </w:r>
      <w:r w:rsidR="00064DD5" w:rsidRPr="00E345FB">
        <w:rPr>
          <w:sz w:val="22"/>
          <w:szCs w:val="22"/>
          <w:lang w:val="en-GB"/>
        </w:rPr>
        <w:fldChar w:fldCharType="begin" w:fldLock="1"/>
      </w:r>
      <w:r w:rsidR="0090493F" w:rsidRPr="00E345FB">
        <w:rPr>
          <w:sz w:val="22"/>
          <w:szCs w:val="22"/>
          <w:lang w:val="en-GB"/>
        </w:rPr>
        <w:instrText>ADDIN CSL_CITATION {"citationItems":[{"id":"ITEM-1","itemData":{"ISSN":"00178012 (ISSN)","abstract":"In the past, design has most often occurred fairly far downstream in the development process and has focused on making new products aesthetically attractive or enhancing brand perception through smart, evocative advertising. Today, as innovation's terrain expands to encompass human-centered processes and services as well as products, companies are asking designers to create ideas rather than to simply dress them up. Brown, the CEO and president of the innovation and design firm IDEO, is a leading proponent of design thinking -a method of meeting people's needs and desires in a technologically feasible and strategically viable way. In this article he offers several intriguing examples of the discipline at work. One involves a collaboration between frontline employees from health care provider Kaiser Permanente and Brown's firm to reengineer nursing-staff shift changes at four Kaiser hospitals. Close observation of actual shift changes, combined with brainstorming and rapid prototyping, produced new procedures and software that radically streamlined information exchange between shifts. The result was more time for nursing, better-informed patient care, and a happier nursing staff. Another involves the Japanese bicycle components manufacturer Shimano, which worked with IDEO to learn why 90% of American adults don't ride bikes. The interdisciplinary project team discovered that intimidating retail experiences, the complexity and cost of sophisticated bikes, and the danger of cycling on heavily trafficked roads had overshadowed people's happy memories of childhood biking. So the team created a brand concept- \"Coasting\" -to describe a whole new category of biking and developed new in-store retailing strategies, a public relations campaign to identify safe places to cycle, and a reference design to inspire designers at the companies that went on to manufacture Coasting bikes.","author":[{"dropping-particle":"","family":"Brown","given":"T","non-dropping-particle":"","parse-names":false,"suffix":""}],"container-title":"Harvard Business Review","id":"ITEM-1","issue":"6","issued":{"date-parts":[["2008"]]},"note":"Cited By (since 2008): 1834","page":"84-92","title":"Design thinking","type":"article-journal","volume":"86"},"uris":["http://www.mendeley.com/documents/?uuid=d986cc83-ab34-46b0-88df-08115f3aba24"]}],"mendeley":{"formattedCitation":"(T Brown, 2008)","manualFormatting":"T Brown (2008)","plainTextFormattedCitation":"(T Brown, 2008)","previouslyFormattedCitation":"(T Brown, 2008)"},"properties":{"noteIndex":0},"schema":"https://github.com/citation-style-language/schema/raw/master/csl-citation.json"}</w:instrText>
      </w:r>
      <w:r w:rsidR="00064DD5" w:rsidRPr="00E345FB">
        <w:rPr>
          <w:sz w:val="22"/>
          <w:szCs w:val="22"/>
          <w:lang w:val="en-GB"/>
        </w:rPr>
        <w:fldChar w:fldCharType="separate"/>
      </w:r>
      <w:r w:rsidR="005C7D18" w:rsidRPr="00E345FB">
        <w:rPr>
          <w:noProof/>
          <w:sz w:val="22"/>
          <w:szCs w:val="22"/>
          <w:lang w:val="en-GB"/>
        </w:rPr>
        <w:t>T Brown (2008)</w:t>
      </w:r>
      <w:r w:rsidR="00064DD5" w:rsidRPr="00E345FB">
        <w:rPr>
          <w:sz w:val="22"/>
          <w:szCs w:val="22"/>
          <w:lang w:val="en-GB"/>
        </w:rPr>
        <w:fldChar w:fldCharType="end"/>
      </w:r>
      <w:r w:rsidRPr="00E345FB">
        <w:rPr>
          <w:sz w:val="22"/>
          <w:szCs w:val="22"/>
          <w:lang w:val="en-GB"/>
        </w:rPr>
        <w:t xml:space="preserve"> essay on "design thinking" has been mentioned over 1800 times. Furthermore, papers by </w:t>
      </w:r>
      <w:r w:rsidR="00064DD5" w:rsidRPr="00E345FB">
        <w:rPr>
          <w:sz w:val="22"/>
          <w:szCs w:val="22"/>
          <w:lang w:val="en-GB"/>
        </w:rPr>
        <w:fldChar w:fldCharType="begin" w:fldLock="1"/>
      </w:r>
      <w:r w:rsidR="005C7D18" w:rsidRPr="00E345FB">
        <w:rPr>
          <w:sz w:val="22"/>
          <w:szCs w:val="22"/>
          <w:lang w:val="en-GB"/>
        </w:rPr>
        <w:instrText>ADDIN CSL_CITATION {"citationItems":[{"id":"ITEM-1","itemData":{"DOI":"10.1016/j.destud.2011.07.006","ISSN":"0142694X (ISSN)","abstract":"In the last few years, \"Design Thinking\" has gained popularity - it is now seen as an exciting new paradigm for dealing with problems in sectors as far a field as IT, Business, Education and Medicine. This potential success challenges the design research community to provide unambiguous answers to two key questions: \"What is the core of Design Thinking?\" and \"What could it bring to practitioners and organisations in other fields?\". We sketch a partial answer by considering the fundamental reasoning pattern behind design, and then looking at the core design practices of framing and frame creation. The paper ends with an exploration of the way in which these core design practices can be adopted for organisational problem solving and innovation. Â© 2011 Elsevier Ltd. All rights reserved.","author":[{"dropping-particle":"","family":"Dorst","given":"K","non-dropping-particle":"","parse-names":false,"suffix":""}],"container-title":"Design Studies","id":"ITEM-1","issue":"6","issued":{"date-parts":[["2011"]]},"note":"Cited By (since 2011): 688","page":"521-532","title":"The core of 'design thinking' and its application","type":"article-journal","volume":"32"},"uris":["http://www.mendeley.com/documents/?uuid=f5227383-5504-45db-8417-af596f21ed0e"]}],"mendeley":{"formattedCitation":"(Dorst, 2011)","manualFormatting":"Dorst, (2011)","plainTextFormattedCitation":"(Dorst, 2011)","previouslyFormattedCitation":"(Dorst, 2011)"},"properties":{"noteIndex":0},"schema":"https://github.com/citation-style-language/schema/raw/master/csl-citation.json"}</w:instrText>
      </w:r>
      <w:r w:rsidR="00064DD5" w:rsidRPr="00E345FB">
        <w:rPr>
          <w:sz w:val="22"/>
          <w:szCs w:val="22"/>
          <w:lang w:val="en-GB"/>
        </w:rPr>
        <w:fldChar w:fldCharType="separate"/>
      </w:r>
      <w:r w:rsidR="005C7D18" w:rsidRPr="00E345FB">
        <w:rPr>
          <w:noProof/>
          <w:sz w:val="22"/>
          <w:szCs w:val="22"/>
          <w:lang w:val="en-GB"/>
        </w:rPr>
        <w:t>Dorst (2011)</w:t>
      </w:r>
      <w:r w:rsidR="00064DD5" w:rsidRPr="00E345FB">
        <w:rPr>
          <w:sz w:val="22"/>
          <w:szCs w:val="22"/>
          <w:lang w:val="en-GB"/>
        </w:rPr>
        <w:fldChar w:fldCharType="end"/>
      </w:r>
      <w:r w:rsidRPr="00E345FB">
        <w:rPr>
          <w:sz w:val="22"/>
          <w:szCs w:val="22"/>
          <w:lang w:val="en-GB"/>
        </w:rPr>
        <w:t xml:space="preserve">were cited over 600 times, and four additional references were quoted over 300 times, including pieces by </w:t>
      </w:r>
      <w:r w:rsidR="00064DD5" w:rsidRPr="00E345FB">
        <w:rPr>
          <w:sz w:val="22"/>
          <w:szCs w:val="22"/>
          <w:lang w:val="en-GB"/>
        </w:rPr>
        <w:fldChar w:fldCharType="begin" w:fldLock="1"/>
      </w:r>
      <w:r w:rsidR="005C7D18" w:rsidRPr="00E345FB">
        <w:rPr>
          <w:sz w:val="22"/>
          <w:szCs w:val="22"/>
          <w:lang w:val="en-GB"/>
        </w:rPr>
        <w:instrText>ADDIN CSL_CITATION {"citationItems":[{"id":"ITEM-1","itemData":{"DOI":"10.1111/caim.12023","ISSN":"14678691","abstract":"This paper takes a critical look at the design thinking discourse, one that has different meanings depending on its context. Within the managerial realm, design thinking has been described as the best way to be creative and innovate, while within the design realm, design thinking may be partly ignored and taken for granted, despite a long history of academic development and debate. In the design area, we find five different discourses of 'designerly thinking', or ways to describe what designers do in practice, that have distinctly different epistemological roots. These different discourses do not stand in competition with each other but could be developed in parallel. We also observe that the management discourse has three distinct origins, but in general has a more superficial and popular character and is less academically anchored than the designerly one. Also, the management design thinking discourse seldom refers to designerly thinking and thereby hinders cumulative knowledge construction. We suggest further research to link the discourses. © 2013 John Wiley &amp; Sons Ltd.","author":[{"dropping-particle":"","family":"Johansson-Sköldberg","given":"Ulla","non-dropping-particle":"","parse-names":false,"suffix":""},{"dropping-particle":"","family":"Woodilla","given":"Jill","non-dropping-particle":"","parse-names":false,"suffix":""},{"dropping-particle":"","family":"Çetinkaya","given":"Mehves","non-dropping-particle":"","parse-names":false,"suffix":""}],"container-title":"Creativity and Innovation Management","id":"ITEM-1","issue":"2","issued":{"date-parts":[["2013"]]},"page":"121-146","title":"Design thinking: Past, present and possible futures","type":"article-journal","volume":"22"},"uris":["http://www.mendeley.com/documents/?uuid=5e5c7294-e6c3-49d2-9fb4-84b97a48fc8e"]}],"mendeley":{"formattedCitation":"(Johansson-Sköldberg et al., 2013)","manualFormatting":"Johansson-Sköldberg et al., (2013)","plainTextFormattedCitation":"(Johansson-Sköldberg et al., 2013)","previouslyFormattedCitation":"(Johansson-Sköldberg et al., 2013)"},"properties":{"noteIndex":0},"schema":"https://github.com/citation-style-language/schema/raw/master/csl-citation.json"}</w:instrText>
      </w:r>
      <w:r w:rsidR="00064DD5" w:rsidRPr="00E345FB">
        <w:rPr>
          <w:sz w:val="22"/>
          <w:szCs w:val="22"/>
          <w:lang w:val="en-GB"/>
        </w:rPr>
        <w:fldChar w:fldCharType="separate"/>
      </w:r>
      <w:r w:rsidR="005C7D18" w:rsidRPr="00E345FB">
        <w:rPr>
          <w:noProof/>
          <w:sz w:val="22"/>
          <w:szCs w:val="22"/>
          <w:lang w:val="en-GB"/>
        </w:rPr>
        <w:t>Johansson-Sköldberg et al., (2013)</w:t>
      </w:r>
      <w:r w:rsidR="00064DD5" w:rsidRPr="00E345FB">
        <w:rPr>
          <w:sz w:val="22"/>
          <w:szCs w:val="22"/>
          <w:lang w:val="en-GB"/>
        </w:rPr>
        <w:fldChar w:fldCharType="end"/>
      </w:r>
      <w:r w:rsidRPr="00E345FB">
        <w:rPr>
          <w:sz w:val="22"/>
          <w:szCs w:val="22"/>
          <w:lang w:val="en-GB"/>
        </w:rPr>
        <w:t xml:space="preserve">, </w:t>
      </w:r>
      <w:r w:rsidR="00064DD5" w:rsidRPr="00E345FB">
        <w:rPr>
          <w:sz w:val="22"/>
          <w:szCs w:val="22"/>
          <w:lang w:val="en-GB"/>
        </w:rPr>
        <w:fldChar w:fldCharType="begin" w:fldLock="1"/>
      </w:r>
      <w:r w:rsidR="00FB1B96" w:rsidRPr="00E345FB">
        <w:rPr>
          <w:sz w:val="22"/>
          <w:szCs w:val="22"/>
          <w:lang w:val="en-GB"/>
        </w:rPr>
        <w:instrText>ADDIN CSL_CITATION {"citationItems":[{"id":"ITEM-1","itemData":{"DOI":"10.5465/AMLE.2006.23473212","ISBN":"1537260X (ISSN)","author":[{"dropping-particle":"","family":"Dunne","given":"D","non-dropping-particle":"","parse-names":false,"suffix":""},{"dropping-particle":"","family":"Martin","given":"R","non-dropping-particle":"","parse-names":false,"suffix":""}],"container-title":"Academy of Management Learning and Education","id":"ITEM-1","issue":"4","issued":{"date-parts":[["2006"]]},"note":"Cited By (since 2006): 382","page":"512-523","publisher":"George Washington University","title":"Design thinking and how it will change management education: An interview and discussion","type":"article","volume":"5"},"uris":["http://www.mendeley.com/documents/?uuid=2dc7b8f2-1155-4247-9238-213285387d11"]}],"mendeley":{"formattedCitation":"(Dunne &amp; Martin, 2006)","manualFormatting":"Dunne &amp; Martin, (2006)","plainTextFormattedCitation":"(Dunne &amp; Martin, 2006)","previouslyFormattedCitation":"(Dunne &amp; Martin, 2006)"},"properties":{"noteIndex":0},"schema":"https://github.com/citation-style-language/schema/raw/master/csl-citation.json"}</w:instrText>
      </w:r>
      <w:r w:rsidR="00064DD5" w:rsidRPr="00E345FB">
        <w:rPr>
          <w:sz w:val="22"/>
          <w:szCs w:val="22"/>
          <w:lang w:val="en-GB"/>
        </w:rPr>
        <w:fldChar w:fldCharType="separate"/>
      </w:r>
      <w:r w:rsidR="005C7D18" w:rsidRPr="00E345FB">
        <w:rPr>
          <w:noProof/>
          <w:sz w:val="22"/>
          <w:szCs w:val="22"/>
          <w:lang w:val="en-GB"/>
        </w:rPr>
        <w:t>Dunne &amp; Martin, (2006)</w:t>
      </w:r>
      <w:r w:rsidR="00064DD5" w:rsidRPr="00E345FB">
        <w:rPr>
          <w:sz w:val="22"/>
          <w:szCs w:val="22"/>
          <w:lang w:val="en-GB"/>
        </w:rPr>
        <w:fldChar w:fldCharType="end"/>
      </w:r>
      <w:r w:rsidR="005C7D18" w:rsidRPr="00E345FB">
        <w:rPr>
          <w:sz w:val="22"/>
          <w:szCs w:val="22"/>
          <w:lang w:val="en-GB"/>
        </w:rPr>
        <w:t>,</w:t>
      </w:r>
      <w:r w:rsidR="00064DD5" w:rsidRPr="00E345FB">
        <w:rPr>
          <w:sz w:val="22"/>
          <w:szCs w:val="22"/>
          <w:lang w:val="en-GB"/>
        </w:rPr>
        <w:fldChar w:fldCharType="begin" w:fldLock="1"/>
      </w:r>
      <w:r w:rsidR="00FB1B96" w:rsidRPr="00E345FB">
        <w:rPr>
          <w:sz w:val="22"/>
          <w:szCs w:val="22"/>
          <w:lang w:val="en-GB"/>
        </w:rPr>
        <w:instrText>ADDIN CSL_CITATION {"citationItems":[{"id":"ITEM-1","itemData":{"DOI":"10.3102/0034654312457429","ISSN":"00346543 (ISSN)","abstract":"Design thinking is generally defined as an analytic and creative process that engages a person in opportunities to experiment, create and prototype models, gather feedback, and redesign. Several characteristics (e.g., visualization, creativity) that a good design thinker should possess have been identified from the literature. The primary purpose of this article is to summarize and synthesize the research on design thinking to (a) better understand its characteristics and processes, as well as the differences between novice and expert design thinkers, and (b) apply the findings from the literature regarding the application of design thinking to our educational system. The authors' overarching goal is to identify the features and characteristics of design thinking and discuss its importance in promoting students' problem-solving skills in the 21st century. Â© 2012 AERA.","author":[{"dropping-particle":"","family":"Razzouk","given":"R","non-dropping-particle":"","parse-names":false,"suffix":""},{"dropping-particle":"","family":"Shute","given":"V","non-dropping-particle":"","parse-names":false,"suffix":""}],"container-title":"Review of Educational Research","id":"ITEM-1","issue":"3","issued":{"date-parts":[["2012"]]},"note":"Cited By (since 2012): 362","page":"330-348","publisher":"SAGE Publications Inc.","title":"What Is Design Thinking and Why Is It Important?","type":"article-journal","volume":"82"},"uris":["http://www.mendeley.com/documents/?uuid=bf367c13-f8bb-4250-aea1-60088fd3d0ce"]}],"mendeley":{"formattedCitation":"(Razzouk &amp; Shute, 2012)","manualFormatting":"Razzouk &amp; Shute, (2012)","plainTextFormattedCitation":"(Razzouk &amp; Shute, 2012)","previouslyFormattedCitation":"(Razzouk &amp; Shute, 2012)"},"properties":{"noteIndex":0},"schema":"https://github.com/citation-style-language/schema/raw/master/csl-citation.json"}</w:instrText>
      </w:r>
      <w:r w:rsidR="00064DD5" w:rsidRPr="00E345FB">
        <w:rPr>
          <w:sz w:val="22"/>
          <w:szCs w:val="22"/>
          <w:lang w:val="en-GB"/>
        </w:rPr>
        <w:fldChar w:fldCharType="separate"/>
      </w:r>
      <w:r w:rsidR="005C7D18" w:rsidRPr="00E345FB">
        <w:rPr>
          <w:noProof/>
          <w:sz w:val="22"/>
          <w:szCs w:val="22"/>
          <w:lang w:val="en-GB"/>
        </w:rPr>
        <w:t>Razzouk &amp; Shute, (2012)</w:t>
      </w:r>
      <w:r w:rsidR="00064DD5" w:rsidRPr="00E345FB">
        <w:rPr>
          <w:sz w:val="22"/>
          <w:szCs w:val="22"/>
          <w:lang w:val="en-GB"/>
        </w:rPr>
        <w:fldChar w:fldCharType="end"/>
      </w:r>
      <w:r w:rsidR="005C7D18" w:rsidRPr="00E345FB">
        <w:rPr>
          <w:sz w:val="22"/>
          <w:szCs w:val="22"/>
          <w:lang w:val="en-GB"/>
        </w:rPr>
        <w:t xml:space="preserve"> and</w:t>
      </w:r>
      <w:r w:rsidR="00064DD5" w:rsidRPr="00E345FB">
        <w:rPr>
          <w:sz w:val="22"/>
          <w:szCs w:val="22"/>
          <w:lang w:val="en-GB"/>
        </w:rPr>
        <w:fldChar w:fldCharType="begin" w:fldLock="1"/>
      </w:r>
      <w:r w:rsidR="00FB1B96" w:rsidRPr="00E345FB">
        <w:rPr>
          <w:sz w:val="22"/>
          <w:szCs w:val="22"/>
          <w:lang w:val="en-GB"/>
        </w:rPr>
        <w:instrText>ADDIN CSL_CITATION {"citationItems":[{"id":"ITEM-1","itemData":{"DOI":"10.2307/41166415","ISBN":"00081256 (ISSN)","abstract":"There is a generic innovation process, grounded in models of how people learn, that can be applied across multiple sectors. It can be applied to the design and development of both hardware and software products, to the design of business models and services, to the design of organizations and how they work, and to the design of the buildings and spaces in which work takes place, or within which companies interact with their customers. This article describes such a model of innovation, grounding it in learning models and developing its implications for understanding, implementing, and engaging in the innovation process. The article focuses on the value and functions of multifaceted innovation teams. It notes the difficulties inherent in innovation efforts, shows where some of the pitfalls are for organizations attempting to innovate, and emphasizes the need to be flexible and adaptive in using the innovation process.","author":[{"dropping-particle":"","family":"Beckman","given":"S L","non-dropping-particle":"","parse-names":false,"suffix":""},{"dropping-particle":"","family":"Barry","given":"M","non-dropping-particle":"","parse-names":false,"suffix":""}],"container-title":"California Management Review","id":"ITEM-1","issue":"1","issued":{"date-parts":[["2007"]]},"note":"Cited By (since 2007): 342","page":"25-56","publisher":"University of California Press","title":"Innovation as a learning process: Embedding design thinking","type":"article","volume":"50"},"uris":["http://www.mendeley.com/documents/?uuid=59a3ba2d-75f2-452a-8e4c-dacdb9dd58ec"]}],"mendeley":{"formattedCitation":"(Beckman &amp; Barry, 2007)","manualFormatting":"Beckman &amp; Barry, (2007)","plainTextFormattedCitation":"(Beckman &amp; Barry, 2007)","previouslyFormattedCitation":"(Beckman &amp; Barry, 2007)"},"properties":{"noteIndex":0},"schema":"https://github.com/citation-style-language/schema/raw/master/csl-citation.json"}</w:instrText>
      </w:r>
      <w:r w:rsidR="00064DD5" w:rsidRPr="00E345FB">
        <w:rPr>
          <w:sz w:val="22"/>
          <w:szCs w:val="22"/>
          <w:lang w:val="en-GB"/>
        </w:rPr>
        <w:fldChar w:fldCharType="separate"/>
      </w:r>
      <w:r w:rsidR="005C7D18" w:rsidRPr="00E345FB">
        <w:rPr>
          <w:noProof/>
          <w:sz w:val="22"/>
          <w:szCs w:val="22"/>
          <w:lang w:val="en-GB"/>
        </w:rPr>
        <w:t>Beckman &amp; Barry, (2007)</w:t>
      </w:r>
      <w:r w:rsidR="00064DD5" w:rsidRPr="00E345FB">
        <w:rPr>
          <w:sz w:val="22"/>
          <w:szCs w:val="22"/>
          <w:lang w:val="en-GB"/>
        </w:rPr>
        <w:fldChar w:fldCharType="end"/>
      </w:r>
      <w:r w:rsidRPr="00E345FB">
        <w:rPr>
          <w:sz w:val="22"/>
          <w:szCs w:val="22"/>
          <w:lang w:val="en-GB"/>
        </w:rPr>
        <w:t>. As a result, it's conceivable that a significant percentage of documented design thinking research fell under the scope of these journals</w:t>
      </w:r>
      <w:r w:rsidR="00220426" w:rsidRPr="00E345FB">
        <w:rPr>
          <w:sz w:val="22"/>
          <w:szCs w:val="22"/>
          <w:lang w:val="en-GB"/>
        </w:rPr>
        <w:t>.</w:t>
      </w:r>
    </w:p>
    <w:p w:rsidR="00A90E32" w:rsidRPr="00E345FB" w:rsidRDefault="00A90E32" w:rsidP="00E345FB">
      <w:pPr>
        <w:pStyle w:val="SAP-TableHeadingSingleline"/>
        <w:suppressAutoHyphens/>
        <w:spacing w:before="0" w:after="0" w:line="240" w:lineRule="auto"/>
        <w:jc w:val="both"/>
        <w:rPr>
          <w:bCs w:val="0"/>
          <w:sz w:val="22"/>
          <w:szCs w:val="22"/>
          <w:lang w:val="en-GB"/>
        </w:rPr>
      </w:pPr>
      <w:r w:rsidRPr="00E345FB">
        <w:rPr>
          <w:bCs w:val="0"/>
          <w:sz w:val="22"/>
          <w:szCs w:val="22"/>
          <w:lang w:val="en-GB"/>
        </w:rPr>
        <w:lastRenderedPageBreak/>
        <w:t>A network visualizationmap for co-citation analysis is available using a threshold of at least 50 articles per journal and fractional counting for publications with at least 20 citations</w:t>
      </w:r>
      <w:r w:rsidR="00081BE6" w:rsidRPr="00E345FB">
        <w:rPr>
          <w:bCs w:val="0"/>
          <w:sz w:val="22"/>
          <w:szCs w:val="22"/>
          <w:lang w:val="en-GB"/>
        </w:rPr>
        <w:t xml:space="preserve">, </w:t>
      </w:r>
      <w:r w:rsidRPr="00E345FB">
        <w:rPr>
          <w:bCs w:val="0"/>
          <w:sz w:val="22"/>
          <w:szCs w:val="22"/>
          <w:lang w:val="en-GB"/>
        </w:rPr>
        <w:t>a network visualizationmap for co-citation analysis is available</w:t>
      </w:r>
      <w:r w:rsidR="00081BE6" w:rsidRPr="00E345FB">
        <w:rPr>
          <w:bCs w:val="0"/>
          <w:sz w:val="22"/>
          <w:szCs w:val="22"/>
          <w:lang w:val="en-GB"/>
        </w:rPr>
        <w:t>(Figure 5)</w:t>
      </w:r>
      <w:r w:rsidRPr="00E345FB">
        <w:rPr>
          <w:bCs w:val="0"/>
          <w:sz w:val="22"/>
          <w:szCs w:val="22"/>
          <w:lang w:val="en-GB"/>
        </w:rPr>
        <w:t xml:space="preserve">. A total of 119 publications were identified using the co-citation analysis. The Design Strategy journal received the most connecting lines from other journals, indicating that the majority of other journals cited </w:t>
      </w:r>
      <w:r w:rsidR="00497C52" w:rsidRPr="00E345FB">
        <w:rPr>
          <w:bCs w:val="0"/>
          <w:sz w:val="22"/>
          <w:szCs w:val="22"/>
          <w:lang w:val="en-GB"/>
        </w:rPr>
        <w:t xml:space="preserve">the </w:t>
      </w:r>
      <w:r w:rsidR="00497C52" w:rsidRPr="00E345FB">
        <w:rPr>
          <w:bCs w:val="0"/>
          <w:sz w:val="22"/>
          <w:szCs w:val="22"/>
          <w:lang w:val="en-GB"/>
        </w:rPr>
        <w:lastRenderedPageBreak/>
        <w:t>majority of theother journals cited it</w:t>
      </w:r>
      <w:r w:rsidRPr="00E345FB">
        <w:rPr>
          <w:bCs w:val="0"/>
          <w:sz w:val="22"/>
          <w:szCs w:val="22"/>
          <w:lang w:val="en-GB"/>
        </w:rPr>
        <w:t xml:space="preserve">. This journal also had the largest circle size, reflecting that it had the most citations in design thinking research. The analysisoutcomes were divided into four </w:t>
      </w:r>
      <w:r w:rsidR="0090493F" w:rsidRPr="00E345FB">
        <w:rPr>
          <w:bCs w:val="0"/>
          <w:sz w:val="22"/>
          <w:szCs w:val="22"/>
          <w:lang w:val="en-GB"/>
        </w:rPr>
        <w:t>c</w:t>
      </w:r>
      <w:r w:rsidRPr="00E345FB">
        <w:rPr>
          <w:bCs w:val="0"/>
          <w:sz w:val="22"/>
          <w:szCs w:val="22"/>
          <w:lang w:val="en-GB"/>
        </w:rPr>
        <w:t>lusters, encompassing management and business journals (red cluster), design journals (green cluster), and education journals (blue cluster) (blue cluster).</w:t>
      </w:r>
    </w:p>
    <w:p w:rsidR="00A90E32" w:rsidRPr="00E345FB" w:rsidRDefault="00A90E32" w:rsidP="00E345FB">
      <w:pPr>
        <w:pStyle w:val="SAP-Paragraph"/>
        <w:suppressAutoHyphens/>
        <w:spacing w:line="240" w:lineRule="auto"/>
        <w:ind w:firstLineChars="0" w:firstLine="0"/>
        <w:rPr>
          <w:sz w:val="22"/>
          <w:szCs w:val="22"/>
          <w:lang w:val="en-GB"/>
        </w:rPr>
      </w:pPr>
    </w:p>
    <w:p w:rsidR="00947AD3" w:rsidRDefault="00947AD3" w:rsidP="00E345FB">
      <w:pPr>
        <w:pStyle w:val="SAP-TableHeadingSingleline"/>
        <w:suppressAutoHyphens/>
        <w:spacing w:before="0" w:after="0" w:line="240" w:lineRule="auto"/>
        <w:rPr>
          <w:b/>
          <w:sz w:val="22"/>
          <w:szCs w:val="22"/>
          <w:lang w:val="en-GB"/>
        </w:rPr>
        <w:sectPr w:rsidR="00947AD3" w:rsidSect="00947AD3">
          <w:type w:val="continuous"/>
          <w:pgSz w:w="11907" w:h="16840" w:code="9"/>
          <w:pgMar w:top="1440" w:right="1440" w:bottom="1440" w:left="1440" w:header="709" w:footer="709" w:gutter="0"/>
          <w:cols w:num="2" w:space="284"/>
          <w:titlePg/>
          <w:docGrid w:linePitch="360"/>
        </w:sectPr>
      </w:pPr>
    </w:p>
    <w:p w:rsidR="00947AD3" w:rsidRDefault="00947AD3" w:rsidP="00E345FB">
      <w:pPr>
        <w:pStyle w:val="SAP-TableHeadingSingleline"/>
        <w:suppressAutoHyphens/>
        <w:spacing w:before="0" w:after="0" w:line="240" w:lineRule="auto"/>
        <w:rPr>
          <w:b/>
          <w:sz w:val="22"/>
          <w:szCs w:val="22"/>
          <w:lang w:val="en-GB"/>
        </w:rPr>
      </w:pPr>
    </w:p>
    <w:p w:rsidR="00937999" w:rsidRPr="00E345FB" w:rsidRDefault="00937999" w:rsidP="00E345FB">
      <w:pPr>
        <w:pStyle w:val="SAP-TableHeadingSingleline"/>
        <w:suppressAutoHyphens/>
        <w:spacing w:before="0" w:after="0" w:line="240" w:lineRule="auto"/>
        <w:rPr>
          <w:bCs w:val="0"/>
          <w:sz w:val="22"/>
          <w:szCs w:val="22"/>
          <w:lang w:val="en-GB"/>
        </w:rPr>
      </w:pPr>
      <w:r w:rsidRPr="00E345FB">
        <w:rPr>
          <w:b/>
          <w:sz w:val="22"/>
          <w:szCs w:val="22"/>
          <w:lang w:val="en-GB"/>
        </w:rPr>
        <w:t xml:space="preserve">Table </w:t>
      </w:r>
      <w:r w:rsidR="005568CB" w:rsidRPr="00E345FB">
        <w:rPr>
          <w:b/>
          <w:sz w:val="22"/>
          <w:szCs w:val="22"/>
          <w:lang w:val="en-GB"/>
        </w:rPr>
        <w:t>6</w:t>
      </w:r>
      <w:r w:rsidRPr="00E345FB">
        <w:rPr>
          <w:b/>
          <w:sz w:val="22"/>
          <w:szCs w:val="22"/>
          <w:lang w:val="en-GB"/>
        </w:rPr>
        <w:t>.</w:t>
      </w:r>
      <w:r w:rsidRPr="00E345FB">
        <w:rPr>
          <w:bCs w:val="0"/>
          <w:sz w:val="22"/>
          <w:szCs w:val="22"/>
          <w:lang w:val="en-GB"/>
        </w:rPr>
        <w:t>Top 10 highly cited articles in design thinking research.</w:t>
      </w:r>
    </w:p>
    <w:tbl>
      <w:tblPr>
        <w:tblW w:w="5576" w:type="pct"/>
        <w:jc w:val="center"/>
        <w:tblLook w:val="01E0"/>
      </w:tblPr>
      <w:tblGrid>
        <w:gridCol w:w="845"/>
        <w:gridCol w:w="2625"/>
        <w:gridCol w:w="4448"/>
        <w:gridCol w:w="690"/>
        <w:gridCol w:w="693"/>
        <w:gridCol w:w="1007"/>
      </w:tblGrid>
      <w:tr w:rsidR="00B42484" w:rsidRPr="00E345FB" w:rsidTr="00B42484">
        <w:trPr>
          <w:jc w:val="center"/>
        </w:trPr>
        <w:tc>
          <w:tcPr>
            <w:tcW w:w="413" w:type="pct"/>
            <w:tcBorders>
              <w:top w:val="single" w:sz="4" w:space="0" w:color="auto"/>
              <w:bottom w:val="single" w:sz="4" w:space="0" w:color="auto"/>
            </w:tcBorders>
            <w:shd w:val="clear" w:color="auto" w:fill="auto"/>
            <w:vAlign w:val="center"/>
          </w:tcPr>
          <w:p w:rsidR="00937999" w:rsidRPr="00E345FB" w:rsidRDefault="00937999" w:rsidP="00E345FB">
            <w:pPr>
              <w:suppressAutoHyphens/>
              <w:jc w:val="both"/>
              <w:rPr>
                <w:color w:val="000000"/>
                <w:sz w:val="22"/>
                <w:szCs w:val="22"/>
                <w:lang w:val="en-GB"/>
              </w:rPr>
            </w:pPr>
            <w:r w:rsidRPr="00E345FB">
              <w:rPr>
                <w:b/>
                <w:bCs/>
                <w:color w:val="000000"/>
                <w:sz w:val="22"/>
                <w:szCs w:val="22"/>
                <w:lang w:val="en-GB"/>
              </w:rPr>
              <w:t>No.</w:t>
            </w:r>
          </w:p>
        </w:tc>
        <w:tc>
          <w:tcPr>
            <w:tcW w:w="1276" w:type="pct"/>
            <w:tcBorders>
              <w:top w:val="single" w:sz="4" w:space="0" w:color="auto"/>
              <w:bottom w:val="single" w:sz="4" w:space="0" w:color="auto"/>
            </w:tcBorders>
            <w:shd w:val="clear" w:color="auto" w:fill="auto"/>
            <w:vAlign w:val="center"/>
          </w:tcPr>
          <w:p w:rsidR="00937999" w:rsidRPr="00E345FB" w:rsidRDefault="00937999" w:rsidP="00E345FB">
            <w:pPr>
              <w:suppressAutoHyphens/>
              <w:jc w:val="both"/>
              <w:rPr>
                <w:color w:val="000000"/>
                <w:sz w:val="22"/>
                <w:szCs w:val="22"/>
                <w:lang w:val="en-GB"/>
              </w:rPr>
            </w:pPr>
            <w:r w:rsidRPr="00E345FB">
              <w:rPr>
                <w:b/>
                <w:bCs/>
                <w:color w:val="000000"/>
                <w:sz w:val="22"/>
                <w:szCs w:val="22"/>
                <w:lang w:val="en-GB"/>
              </w:rPr>
              <w:t>Authors</w:t>
            </w:r>
          </w:p>
        </w:tc>
        <w:tc>
          <w:tcPr>
            <w:tcW w:w="2160" w:type="pct"/>
            <w:tcBorders>
              <w:top w:val="single" w:sz="4" w:space="0" w:color="auto"/>
              <w:bottom w:val="single" w:sz="4" w:space="0" w:color="auto"/>
            </w:tcBorders>
            <w:shd w:val="clear" w:color="auto" w:fill="auto"/>
            <w:vAlign w:val="center"/>
          </w:tcPr>
          <w:p w:rsidR="00937999" w:rsidRPr="00E345FB" w:rsidRDefault="00937999" w:rsidP="00E345FB">
            <w:pPr>
              <w:suppressAutoHyphens/>
              <w:jc w:val="both"/>
              <w:rPr>
                <w:color w:val="000000"/>
                <w:sz w:val="22"/>
                <w:szCs w:val="22"/>
                <w:lang w:val="en-GB"/>
              </w:rPr>
            </w:pPr>
            <w:r w:rsidRPr="00E345FB">
              <w:rPr>
                <w:b/>
                <w:bCs/>
                <w:color w:val="000000"/>
                <w:sz w:val="22"/>
                <w:szCs w:val="22"/>
                <w:lang w:val="en-GB"/>
              </w:rPr>
              <w:t>Title</w:t>
            </w:r>
          </w:p>
        </w:tc>
        <w:tc>
          <w:tcPr>
            <w:tcW w:w="337" w:type="pct"/>
            <w:tcBorders>
              <w:top w:val="single" w:sz="4" w:space="0" w:color="auto"/>
              <w:bottom w:val="single" w:sz="4" w:space="0" w:color="auto"/>
            </w:tcBorders>
            <w:shd w:val="clear" w:color="auto" w:fill="auto"/>
            <w:vAlign w:val="center"/>
          </w:tcPr>
          <w:p w:rsidR="00937999" w:rsidRPr="00E345FB" w:rsidRDefault="00937999" w:rsidP="00E345FB">
            <w:pPr>
              <w:suppressAutoHyphens/>
              <w:jc w:val="both"/>
              <w:rPr>
                <w:color w:val="000000"/>
                <w:sz w:val="22"/>
                <w:szCs w:val="22"/>
                <w:lang w:val="en-GB"/>
              </w:rPr>
            </w:pPr>
            <w:r w:rsidRPr="00E345FB">
              <w:rPr>
                <w:b/>
                <w:bCs/>
                <w:color w:val="000000"/>
                <w:sz w:val="22"/>
                <w:szCs w:val="22"/>
                <w:lang w:val="en-GB"/>
              </w:rPr>
              <w:t>Year</w:t>
            </w:r>
          </w:p>
        </w:tc>
        <w:tc>
          <w:tcPr>
            <w:tcW w:w="323" w:type="pct"/>
            <w:tcBorders>
              <w:top w:val="single" w:sz="4" w:space="0" w:color="auto"/>
              <w:bottom w:val="single" w:sz="4" w:space="0" w:color="auto"/>
            </w:tcBorders>
            <w:shd w:val="clear" w:color="auto" w:fill="auto"/>
            <w:vAlign w:val="center"/>
          </w:tcPr>
          <w:p w:rsidR="00937999" w:rsidRPr="00E345FB" w:rsidRDefault="00937999" w:rsidP="00E345FB">
            <w:pPr>
              <w:suppressAutoHyphens/>
              <w:jc w:val="both"/>
              <w:rPr>
                <w:color w:val="000000"/>
                <w:sz w:val="22"/>
                <w:szCs w:val="22"/>
                <w:lang w:val="en-GB"/>
              </w:rPr>
            </w:pPr>
            <w:r w:rsidRPr="00E345FB">
              <w:rPr>
                <w:b/>
                <w:bCs/>
                <w:color w:val="000000"/>
                <w:sz w:val="22"/>
                <w:szCs w:val="22"/>
                <w:lang w:val="en-GB"/>
              </w:rPr>
              <w:t>Cites</w:t>
            </w:r>
          </w:p>
        </w:tc>
        <w:tc>
          <w:tcPr>
            <w:tcW w:w="491" w:type="pct"/>
            <w:tcBorders>
              <w:top w:val="single" w:sz="4" w:space="0" w:color="auto"/>
              <w:bottom w:val="single" w:sz="4" w:space="0" w:color="auto"/>
            </w:tcBorders>
            <w:shd w:val="clear" w:color="auto" w:fill="auto"/>
            <w:vAlign w:val="center"/>
          </w:tcPr>
          <w:p w:rsidR="00937999" w:rsidRPr="00E345FB" w:rsidRDefault="00937999" w:rsidP="00E345FB">
            <w:pPr>
              <w:suppressAutoHyphens/>
              <w:jc w:val="both"/>
              <w:rPr>
                <w:b/>
                <w:bCs/>
                <w:color w:val="000000"/>
                <w:sz w:val="22"/>
                <w:szCs w:val="22"/>
                <w:lang w:val="en-GB"/>
              </w:rPr>
            </w:pPr>
            <w:r w:rsidRPr="00E345FB">
              <w:rPr>
                <w:b/>
                <w:bCs/>
                <w:color w:val="000000"/>
                <w:sz w:val="22"/>
                <w:szCs w:val="22"/>
                <w:lang w:val="en-GB"/>
              </w:rPr>
              <w:t>Cites</w:t>
            </w:r>
          </w:p>
          <w:p w:rsidR="00937999" w:rsidRPr="00E345FB" w:rsidRDefault="00937999" w:rsidP="00E345FB">
            <w:pPr>
              <w:suppressAutoHyphens/>
              <w:jc w:val="both"/>
              <w:rPr>
                <w:b/>
                <w:bCs/>
                <w:color w:val="000000"/>
                <w:sz w:val="22"/>
                <w:szCs w:val="22"/>
                <w:lang w:val="en-GB"/>
              </w:rPr>
            </w:pPr>
            <w:r w:rsidRPr="00E345FB">
              <w:rPr>
                <w:b/>
                <w:bCs/>
                <w:color w:val="000000"/>
                <w:sz w:val="22"/>
                <w:szCs w:val="22"/>
                <w:lang w:val="en-GB"/>
              </w:rPr>
              <w:t>per Year</w:t>
            </w:r>
          </w:p>
        </w:tc>
      </w:tr>
      <w:tr w:rsidR="00B42484" w:rsidRPr="00E345FB" w:rsidTr="00B42484">
        <w:trPr>
          <w:jc w:val="center"/>
        </w:trPr>
        <w:tc>
          <w:tcPr>
            <w:tcW w:w="413" w:type="pct"/>
            <w:tcBorders>
              <w:top w:val="single" w:sz="4" w:space="0" w:color="auto"/>
            </w:tcBorders>
            <w:shd w:val="clear" w:color="auto" w:fill="auto"/>
          </w:tcPr>
          <w:p w:rsidR="00937999" w:rsidRPr="00E345FB" w:rsidRDefault="00937999" w:rsidP="00E345FB">
            <w:pPr>
              <w:suppressAutoHyphens/>
              <w:jc w:val="both"/>
              <w:rPr>
                <w:color w:val="000000"/>
                <w:sz w:val="22"/>
                <w:szCs w:val="22"/>
                <w:lang w:val="en-GB"/>
              </w:rPr>
            </w:pPr>
            <w:r w:rsidRPr="00E345FB">
              <w:rPr>
                <w:color w:val="000000"/>
                <w:sz w:val="22"/>
                <w:szCs w:val="22"/>
                <w:lang w:val="en-GB"/>
              </w:rPr>
              <w:t>1</w:t>
            </w:r>
          </w:p>
        </w:tc>
        <w:tc>
          <w:tcPr>
            <w:tcW w:w="1276" w:type="pct"/>
            <w:tcBorders>
              <w:top w:val="single" w:sz="4" w:space="0" w:color="auto"/>
            </w:tcBorders>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Dym, C.L., Agogino, A.M., Eris, O., Frey, D.D., Leifer, L.J</w:t>
            </w:r>
          </w:p>
        </w:tc>
        <w:tc>
          <w:tcPr>
            <w:tcW w:w="2160" w:type="pct"/>
            <w:tcBorders>
              <w:top w:val="single" w:sz="4" w:space="0" w:color="auto"/>
            </w:tcBorders>
            <w:shd w:val="clear" w:color="auto" w:fill="auto"/>
          </w:tcPr>
          <w:p w:rsidR="00937999" w:rsidRPr="00E345FB" w:rsidRDefault="00937999" w:rsidP="00E345FB">
            <w:pPr>
              <w:suppressAutoHyphens/>
              <w:jc w:val="both"/>
              <w:rPr>
                <w:color w:val="000000"/>
                <w:sz w:val="22"/>
                <w:szCs w:val="22"/>
                <w:lang w:val="en-GB"/>
              </w:rPr>
            </w:pPr>
            <w:bookmarkStart w:id="13" w:name="_Hlk99353195"/>
            <w:r w:rsidRPr="00E345FB">
              <w:rPr>
                <w:sz w:val="22"/>
                <w:szCs w:val="22"/>
              </w:rPr>
              <w:t>Engineering design thinking, teaching, and learning</w:t>
            </w:r>
            <w:bookmarkEnd w:id="13"/>
          </w:p>
        </w:tc>
        <w:tc>
          <w:tcPr>
            <w:tcW w:w="337" w:type="pct"/>
            <w:tcBorders>
              <w:top w:val="single" w:sz="4" w:space="0" w:color="auto"/>
            </w:tcBorders>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2005</w:t>
            </w:r>
          </w:p>
        </w:tc>
        <w:tc>
          <w:tcPr>
            <w:tcW w:w="323" w:type="pct"/>
            <w:tcBorders>
              <w:top w:val="single" w:sz="4" w:space="0" w:color="auto"/>
            </w:tcBorders>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2058</w:t>
            </w:r>
          </w:p>
        </w:tc>
        <w:tc>
          <w:tcPr>
            <w:tcW w:w="491" w:type="pct"/>
            <w:tcBorders>
              <w:top w:val="single" w:sz="4" w:space="0" w:color="auto"/>
            </w:tcBorders>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121.06</w:t>
            </w:r>
          </w:p>
        </w:tc>
      </w:tr>
      <w:tr w:rsidR="00B42484" w:rsidRPr="00E345FB" w:rsidTr="00B42484">
        <w:trPr>
          <w:jc w:val="center"/>
        </w:trPr>
        <w:tc>
          <w:tcPr>
            <w:tcW w:w="413" w:type="pct"/>
            <w:shd w:val="clear" w:color="auto" w:fill="auto"/>
          </w:tcPr>
          <w:p w:rsidR="00937999" w:rsidRPr="00E345FB" w:rsidRDefault="00937999" w:rsidP="00E345FB">
            <w:pPr>
              <w:suppressAutoHyphens/>
              <w:jc w:val="both"/>
              <w:rPr>
                <w:color w:val="000000"/>
                <w:sz w:val="22"/>
                <w:szCs w:val="22"/>
                <w:lang w:val="en-GB"/>
              </w:rPr>
            </w:pPr>
            <w:r w:rsidRPr="00E345FB">
              <w:rPr>
                <w:color w:val="000000"/>
                <w:sz w:val="22"/>
                <w:szCs w:val="22"/>
                <w:lang w:val="en-GB"/>
              </w:rPr>
              <w:t>2</w:t>
            </w:r>
          </w:p>
        </w:tc>
        <w:tc>
          <w:tcPr>
            <w:tcW w:w="1276" w:type="pct"/>
            <w:shd w:val="clear" w:color="auto" w:fill="auto"/>
          </w:tcPr>
          <w:p w:rsidR="00937999" w:rsidRPr="00E345FB" w:rsidRDefault="00937999" w:rsidP="00E345FB">
            <w:pPr>
              <w:suppressAutoHyphens/>
              <w:jc w:val="both"/>
              <w:rPr>
                <w:color w:val="000000"/>
                <w:sz w:val="22"/>
                <w:szCs w:val="22"/>
                <w:lang w:val="en-GB"/>
              </w:rPr>
            </w:pPr>
            <w:bookmarkStart w:id="14" w:name="_Hlk99355314"/>
            <w:r w:rsidRPr="00E345FB">
              <w:rPr>
                <w:sz w:val="22"/>
                <w:szCs w:val="22"/>
              </w:rPr>
              <w:t>Brown, T.</w:t>
            </w:r>
            <w:bookmarkEnd w:id="14"/>
            <w:r w:rsidRPr="00E345FB">
              <w:rPr>
                <w:sz w:val="22"/>
                <w:szCs w:val="22"/>
              </w:rPr>
              <w:tab/>
            </w:r>
          </w:p>
        </w:tc>
        <w:tc>
          <w:tcPr>
            <w:tcW w:w="2160" w:type="pct"/>
            <w:shd w:val="clear" w:color="auto" w:fill="auto"/>
          </w:tcPr>
          <w:p w:rsidR="00937999" w:rsidRPr="00E345FB" w:rsidRDefault="00937999" w:rsidP="00E345FB">
            <w:pPr>
              <w:suppressAutoHyphens/>
              <w:jc w:val="both"/>
              <w:rPr>
                <w:color w:val="000000"/>
                <w:sz w:val="22"/>
                <w:szCs w:val="22"/>
                <w:lang w:val="en-GB"/>
              </w:rPr>
            </w:pPr>
            <w:bookmarkStart w:id="15" w:name="_Hlk99355575"/>
            <w:r w:rsidRPr="00E345FB">
              <w:rPr>
                <w:sz w:val="22"/>
                <w:szCs w:val="22"/>
              </w:rPr>
              <w:t>Design thinking</w:t>
            </w:r>
            <w:bookmarkEnd w:id="15"/>
          </w:p>
        </w:tc>
        <w:tc>
          <w:tcPr>
            <w:tcW w:w="337"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2008</w:t>
            </w:r>
          </w:p>
        </w:tc>
        <w:tc>
          <w:tcPr>
            <w:tcW w:w="323"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1834</w:t>
            </w:r>
          </w:p>
        </w:tc>
        <w:tc>
          <w:tcPr>
            <w:tcW w:w="491"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131.00</w:t>
            </w:r>
          </w:p>
        </w:tc>
      </w:tr>
      <w:tr w:rsidR="00B42484" w:rsidRPr="00E345FB" w:rsidTr="00B42484">
        <w:trPr>
          <w:jc w:val="center"/>
        </w:trPr>
        <w:tc>
          <w:tcPr>
            <w:tcW w:w="413" w:type="pct"/>
            <w:shd w:val="clear" w:color="auto" w:fill="auto"/>
          </w:tcPr>
          <w:p w:rsidR="00937999" w:rsidRPr="00E345FB" w:rsidRDefault="00937999" w:rsidP="00E345FB">
            <w:pPr>
              <w:suppressAutoHyphens/>
              <w:jc w:val="both"/>
              <w:rPr>
                <w:color w:val="000000"/>
                <w:sz w:val="22"/>
                <w:szCs w:val="22"/>
                <w:lang w:val="en-GB"/>
              </w:rPr>
            </w:pPr>
            <w:bookmarkStart w:id="16" w:name="_Hlk99355387"/>
            <w:r w:rsidRPr="00E345FB">
              <w:rPr>
                <w:color w:val="000000"/>
                <w:sz w:val="22"/>
                <w:szCs w:val="22"/>
                <w:lang w:val="en-GB"/>
              </w:rPr>
              <w:t>3</w:t>
            </w:r>
          </w:p>
        </w:tc>
        <w:tc>
          <w:tcPr>
            <w:tcW w:w="1276"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Dorst, K.</w:t>
            </w:r>
          </w:p>
        </w:tc>
        <w:tc>
          <w:tcPr>
            <w:tcW w:w="2160"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The core of 'design thinking' and its application</w:t>
            </w:r>
          </w:p>
        </w:tc>
        <w:tc>
          <w:tcPr>
            <w:tcW w:w="337"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2011</w:t>
            </w:r>
          </w:p>
        </w:tc>
        <w:tc>
          <w:tcPr>
            <w:tcW w:w="323"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688</w:t>
            </w:r>
          </w:p>
        </w:tc>
        <w:tc>
          <w:tcPr>
            <w:tcW w:w="491"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62.55</w:t>
            </w:r>
          </w:p>
        </w:tc>
      </w:tr>
      <w:bookmarkEnd w:id="16"/>
      <w:tr w:rsidR="00B42484" w:rsidRPr="00E345FB" w:rsidTr="00B42484">
        <w:trPr>
          <w:jc w:val="center"/>
        </w:trPr>
        <w:tc>
          <w:tcPr>
            <w:tcW w:w="413" w:type="pct"/>
            <w:shd w:val="clear" w:color="auto" w:fill="auto"/>
          </w:tcPr>
          <w:p w:rsidR="00937999" w:rsidRPr="00E345FB" w:rsidRDefault="00937999" w:rsidP="00E345FB">
            <w:pPr>
              <w:suppressAutoHyphens/>
              <w:jc w:val="both"/>
              <w:rPr>
                <w:color w:val="000000"/>
                <w:sz w:val="22"/>
                <w:szCs w:val="22"/>
                <w:lang w:val="en-GB"/>
              </w:rPr>
            </w:pPr>
            <w:r w:rsidRPr="00E345FB">
              <w:rPr>
                <w:color w:val="000000"/>
                <w:sz w:val="22"/>
                <w:szCs w:val="22"/>
                <w:lang w:val="en-GB"/>
              </w:rPr>
              <w:t>4</w:t>
            </w:r>
          </w:p>
        </w:tc>
        <w:tc>
          <w:tcPr>
            <w:tcW w:w="1276" w:type="pct"/>
            <w:shd w:val="clear" w:color="auto" w:fill="auto"/>
          </w:tcPr>
          <w:p w:rsidR="00937999" w:rsidRPr="00E345FB" w:rsidRDefault="00937999" w:rsidP="00E345FB">
            <w:pPr>
              <w:suppressAutoHyphens/>
              <w:jc w:val="both"/>
              <w:rPr>
                <w:color w:val="000000"/>
                <w:sz w:val="22"/>
                <w:szCs w:val="22"/>
                <w:lang w:val="en-GB"/>
              </w:rPr>
            </w:pPr>
            <w:bookmarkStart w:id="17" w:name="_Hlk99355635"/>
            <w:r w:rsidRPr="00E345FB">
              <w:rPr>
                <w:sz w:val="22"/>
                <w:szCs w:val="22"/>
              </w:rPr>
              <w:t>Johansson-Sköldberg, U., Woodilla, J., Çetinkaya, M</w:t>
            </w:r>
            <w:bookmarkEnd w:id="17"/>
            <w:r w:rsidRPr="00E345FB">
              <w:rPr>
                <w:sz w:val="22"/>
                <w:szCs w:val="22"/>
              </w:rPr>
              <w:t>.</w:t>
            </w:r>
          </w:p>
        </w:tc>
        <w:tc>
          <w:tcPr>
            <w:tcW w:w="2160"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Design thinking: Past, present</w:t>
            </w:r>
            <w:r w:rsidR="00497C52" w:rsidRPr="00E345FB">
              <w:rPr>
                <w:sz w:val="22"/>
                <w:szCs w:val="22"/>
              </w:rPr>
              <w:t>,</w:t>
            </w:r>
            <w:r w:rsidRPr="00E345FB">
              <w:rPr>
                <w:sz w:val="22"/>
                <w:szCs w:val="22"/>
              </w:rPr>
              <w:t xml:space="preserve"> and possible futures</w:t>
            </w:r>
          </w:p>
        </w:tc>
        <w:tc>
          <w:tcPr>
            <w:tcW w:w="337"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2013</w:t>
            </w:r>
          </w:p>
        </w:tc>
        <w:tc>
          <w:tcPr>
            <w:tcW w:w="323"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396</w:t>
            </w:r>
          </w:p>
        </w:tc>
        <w:tc>
          <w:tcPr>
            <w:tcW w:w="491"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44.00</w:t>
            </w:r>
          </w:p>
        </w:tc>
      </w:tr>
      <w:tr w:rsidR="00B42484" w:rsidRPr="00E345FB" w:rsidTr="00B42484">
        <w:trPr>
          <w:jc w:val="center"/>
        </w:trPr>
        <w:tc>
          <w:tcPr>
            <w:tcW w:w="413" w:type="pct"/>
            <w:shd w:val="clear" w:color="auto" w:fill="auto"/>
          </w:tcPr>
          <w:p w:rsidR="00937999" w:rsidRPr="00E345FB" w:rsidRDefault="00937999" w:rsidP="00E345FB">
            <w:pPr>
              <w:suppressAutoHyphens/>
              <w:jc w:val="both"/>
              <w:rPr>
                <w:color w:val="000000"/>
                <w:sz w:val="22"/>
                <w:szCs w:val="22"/>
                <w:lang w:val="en-GB"/>
              </w:rPr>
            </w:pPr>
            <w:r w:rsidRPr="00E345FB">
              <w:rPr>
                <w:color w:val="000000"/>
                <w:sz w:val="22"/>
                <w:szCs w:val="22"/>
                <w:lang w:val="en-GB"/>
              </w:rPr>
              <w:t>5</w:t>
            </w:r>
          </w:p>
        </w:tc>
        <w:tc>
          <w:tcPr>
            <w:tcW w:w="1276" w:type="pct"/>
            <w:shd w:val="clear" w:color="auto" w:fill="auto"/>
          </w:tcPr>
          <w:p w:rsidR="00937999" w:rsidRPr="00E345FB" w:rsidRDefault="00937999" w:rsidP="00E345FB">
            <w:pPr>
              <w:suppressAutoHyphens/>
              <w:jc w:val="both"/>
              <w:rPr>
                <w:color w:val="000000"/>
                <w:sz w:val="22"/>
                <w:szCs w:val="22"/>
                <w:lang w:val="en-GB"/>
              </w:rPr>
            </w:pPr>
            <w:bookmarkStart w:id="18" w:name="_Hlk99355658"/>
            <w:r w:rsidRPr="00E345FB">
              <w:rPr>
                <w:sz w:val="22"/>
                <w:szCs w:val="22"/>
              </w:rPr>
              <w:t>Dunne, D., Martin, R.</w:t>
            </w:r>
            <w:bookmarkEnd w:id="18"/>
          </w:p>
        </w:tc>
        <w:tc>
          <w:tcPr>
            <w:tcW w:w="2160"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Design thinking and how it will change management education: An interview and discussion</w:t>
            </w:r>
          </w:p>
        </w:tc>
        <w:tc>
          <w:tcPr>
            <w:tcW w:w="337"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2006</w:t>
            </w:r>
          </w:p>
        </w:tc>
        <w:tc>
          <w:tcPr>
            <w:tcW w:w="323"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382</w:t>
            </w:r>
          </w:p>
        </w:tc>
        <w:tc>
          <w:tcPr>
            <w:tcW w:w="491"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23.88</w:t>
            </w:r>
          </w:p>
        </w:tc>
      </w:tr>
      <w:tr w:rsidR="00B42484" w:rsidRPr="00E345FB" w:rsidTr="00B42484">
        <w:trPr>
          <w:jc w:val="center"/>
        </w:trPr>
        <w:tc>
          <w:tcPr>
            <w:tcW w:w="413" w:type="pct"/>
            <w:shd w:val="clear" w:color="auto" w:fill="auto"/>
          </w:tcPr>
          <w:p w:rsidR="00937999" w:rsidRPr="00E345FB" w:rsidRDefault="00937999" w:rsidP="00E345FB">
            <w:pPr>
              <w:suppressAutoHyphens/>
              <w:jc w:val="both"/>
              <w:rPr>
                <w:color w:val="000000"/>
                <w:sz w:val="22"/>
                <w:szCs w:val="22"/>
                <w:lang w:val="en-GB"/>
              </w:rPr>
            </w:pPr>
            <w:r w:rsidRPr="00E345FB">
              <w:rPr>
                <w:color w:val="000000"/>
                <w:sz w:val="22"/>
                <w:szCs w:val="22"/>
                <w:lang w:val="en-GB"/>
              </w:rPr>
              <w:t>6</w:t>
            </w:r>
          </w:p>
        </w:tc>
        <w:tc>
          <w:tcPr>
            <w:tcW w:w="1276"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Razzouk, R., Shute, V.</w:t>
            </w:r>
          </w:p>
        </w:tc>
        <w:tc>
          <w:tcPr>
            <w:tcW w:w="2160"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What Is Design Thinking</w:t>
            </w:r>
            <w:r w:rsidR="00497C52" w:rsidRPr="00E345FB">
              <w:rPr>
                <w:sz w:val="22"/>
                <w:szCs w:val="22"/>
              </w:rPr>
              <w:t>,</w:t>
            </w:r>
            <w:r w:rsidRPr="00E345FB">
              <w:rPr>
                <w:sz w:val="22"/>
                <w:szCs w:val="22"/>
              </w:rPr>
              <w:t xml:space="preserve"> and Why Is It Important?</w:t>
            </w:r>
          </w:p>
        </w:tc>
        <w:tc>
          <w:tcPr>
            <w:tcW w:w="337"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2012</w:t>
            </w:r>
          </w:p>
        </w:tc>
        <w:tc>
          <w:tcPr>
            <w:tcW w:w="323"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362</w:t>
            </w:r>
          </w:p>
        </w:tc>
        <w:tc>
          <w:tcPr>
            <w:tcW w:w="491"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36.20</w:t>
            </w:r>
          </w:p>
        </w:tc>
      </w:tr>
      <w:tr w:rsidR="00B42484" w:rsidRPr="00E345FB" w:rsidTr="00B42484">
        <w:trPr>
          <w:jc w:val="center"/>
        </w:trPr>
        <w:tc>
          <w:tcPr>
            <w:tcW w:w="413" w:type="pct"/>
            <w:shd w:val="clear" w:color="auto" w:fill="auto"/>
          </w:tcPr>
          <w:p w:rsidR="00937999" w:rsidRPr="00E345FB" w:rsidRDefault="00937999" w:rsidP="00E345FB">
            <w:pPr>
              <w:suppressAutoHyphens/>
              <w:jc w:val="both"/>
              <w:rPr>
                <w:color w:val="000000"/>
                <w:sz w:val="22"/>
                <w:szCs w:val="22"/>
                <w:lang w:val="en-GB"/>
              </w:rPr>
            </w:pPr>
            <w:r w:rsidRPr="00E345FB">
              <w:rPr>
                <w:color w:val="000000"/>
                <w:sz w:val="22"/>
                <w:szCs w:val="22"/>
                <w:lang w:val="en-GB"/>
              </w:rPr>
              <w:t>7</w:t>
            </w:r>
          </w:p>
        </w:tc>
        <w:tc>
          <w:tcPr>
            <w:tcW w:w="1276"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Beckman, S.L., Barry, M.</w:t>
            </w:r>
          </w:p>
        </w:tc>
        <w:tc>
          <w:tcPr>
            <w:tcW w:w="2160"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Innovation as a learning process: Embedding design thinking</w:t>
            </w:r>
          </w:p>
        </w:tc>
        <w:tc>
          <w:tcPr>
            <w:tcW w:w="337"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2007</w:t>
            </w:r>
          </w:p>
        </w:tc>
        <w:tc>
          <w:tcPr>
            <w:tcW w:w="323"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342</w:t>
            </w:r>
          </w:p>
        </w:tc>
        <w:tc>
          <w:tcPr>
            <w:tcW w:w="491"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22.80</w:t>
            </w:r>
          </w:p>
        </w:tc>
      </w:tr>
      <w:tr w:rsidR="00B42484" w:rsidRPr="00E345FB" w:rsidTr="00B42484">
        <w:trPr>
          <w:jc w:val="center"/>
        </w:trPr>
        <w:tc>
          <w:tcPr>
            <w:tcW w:w="413" w:type="pct"/>
            <w:shd w:val="clear" w:color="auto" w:fill="auto"/>
          </w:tcPr>
          <w:p w:rsidR="00937999" w:rsidRPr="00E345FB" w:rsidRDefault="00937999" w:rsidP="00E345FB">
            <w:pPr>
              <w:suppressAutoHyphens/>
              <w:jc w:val="both"/>
              <w:rPr>
                <w:color w:val="000000"/>
                <w:sz w:val="22"/>
                <w:szCs w:val="22"/>
                <w:lang w:val="en-GB"/>
              </w:rPr>
            </w:pPr>
            <w:r w:rsidRPr="00E345FB">
              <w:rPr>
                <w:color w:val="000000"/>
                <w:sz w:val="22"/>
                <w:szCs w:val="22"/>
                <w:lang w:val="en-GB"/>
              </w:rPr>
              <w:t>8</w:t>
            </w:r>
          </w:p>
        </w:tc>
        <w:tc>
          <w:tcPr>
            <w:tcW w:w="1276"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Bjögvinsson, E., Ehn, P., Hillgren, P.-A.</w:t>
            </w:r>
          </w:p>
        </w:tc>
        <w:tc>
          <w:tcPr>
            <w:tcW w:w="2160" w:type="pct"/>
            <w:shd w:val="clear" w:color="auto" w:fill="auto"/>
          </w:tcPr>
          <w:p w:rsidR="00937999" w:rsidRPr="00E345FB" w:rsidRDefault="00937999" w:rsidP="00E345FB">
            <w:pPr>
              <w:suppressAutoHyphens/>
              <w:jc w:val="both"/>
              <w:rPr>
                <w:sz w:val="22"/>
                <w:szCs w:val="22"/>
              </w:rPr>
            </w:pPr>
            <w:r w:rsidRPr="00E345FB">
              <w:rPr>
                <w:sz w:val="22"/>
                <w:szCs w:val="22"/>
              </w:rPr>
              <w:t>Design things and design thinking: Contemporary participatory design challenges</w:t>
            </w:r>
          </w:p>
        </w:tc>
        <w:tc>
          <w:tcPr>
            <w:tcW w:w="337"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2012</w:t>
            </w:r>
          </w:p>
        </w:tc>
        <w:tc>
          <w:tcPr>
            <w:tcW w:w="323" w:type="pct"/>
            <w:shd w:val="clear" w:color="auto" w:fill="auto"/>
          </w:tcPr>
          <w:p w:rsidR="00937999" w:rsidRPr="00E345FB" w:rsidRDefault="00937999" w:rsidP="00E345FB">
            <w:pPr>
              <w:suppressAutoHyphens/>
              <w:jc w:val="both"/>
              <w:rPr>
                <w:color w:val="000000"/>
                <w:sz w:val="22"/>
                <w:szCs w:val="22"/>
                <w:lang w:val="en-GB"/>
              </w:rPr>
            </w:pPr>
            <w:r w:rsidRPr="00E345FB">
              <w:rPr>
                <w:color w:val="000000"/>
                <w:sz w:val="22"/>
                <w:szCs w:val="22"/>
              </w:rPr>
              <w:t>299</w:t>
            </w:r>
          </w:p>
        </w:tc>
        <w:tc>
          <w:tcPr>
            <w:tcW w:w="491"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29.90</w:t>
            </w:r>
          </w:p>
        </w:tc>
      </w:tr>
      <w:tr w:rsidR="00B42484" w:rsidRPr="00E345FB" w:rsidTr="00B42484">
        <w:trPr>
          <w:jc w:val="center"/>
        </w:trPr>
        <w:tc>
          <w:tcPr>
            <w:tcW w:w="413" w:type="pct"/>
            <w:shd w:val="clear" w:color="auto" w:fill="auto"/>
          </w:tcPr>
          <w:p w:rsidR="00937999" w:rsidRPr="00E345FB" w:rsidRDefault="00937999" w:rsidP="00E345FB">
            <w:pPr>
              <w:suppressAutoHyphens/>
              <w:jc w:val="both"/>
              <w:rPr>
                <w:color w:val="000000"/>
                <w:sz w:val="22"/>
                <w:szCs w:val="22"/>
                <w:lang w:val="en-GB"/>
              </w:rPr>
            </w:pPr>
            <w:r w:rsidRPr="00E345FB">
              <w:rPr>
                <w:color w:val="000000"/>
                <w:sz w:val="22"/>
                <w:szCs w:val="22"/>
                <w:lang w:val="en-GB"/>
              </w:rPr>
              <w:t>9</w:t>
            </w:r>
          </w:p>
        </w:tc>
        <w:tc>
          <w:tcPr>
            <w:tcW w:w="1276"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Yeager, D.S., Hulleman, C.S., Hinojosa, C. Walton, G.M., Dweck, C.S.</w:t>
            </w:r>
          </w:p>
        </w:tc>
        <w:tc>
          <w:tcPr>
            <w:tcW w:w="2160"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Using design thinking to improve psychological interventions: The case of the growth mindset during the transition to high school</w:t>
            </w:r>
          </w:p>
        </w:tc>
        <w:tc>
          <w:tcPr>
            <w:tcW w:w="337"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2016</w:t>
            </w:r>
          </w:p>
        </w:tc>
        <w:tc>
          <w:tcPr>
            <w:tcW w:w="323" w:type="pct"/>
            <w:shd w:val="clear" w:color="auto" w:fill="auto"/>
          </w:tcPr>
          <w:p w:rsidR="00937999" w:rsidRPr="00E345FB" w:rsidRDefault="00937999" w:rsidP="00E345FB">
            <w:pPr>
              <w:suppressAutoHyphens/>
              <w:jc w:val="both"/>
              <w:rPr>
                <w:color w:val="000000"/>
                <w:sz w:val="22"/>
                <w:szCs w:val="22"/>
                <w:lang w:val="en-GB"/>
              </w:rPr>
            </w:pPr>
            <w:r w:rsidRPr="00E345FB">
              <w:rPr>
                <w:color w:val="000000"/>
                <w:sz w:val="22"/>
                <w:szCs w:val="22"/>
              </w:rPr>
              <w:t>282</w:t>
            </w:r>
          </w:p>
        </w:tc>
        <w:tc>
          <w:tcPr>
            <w:tcW w:w="491"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47.00</w:t>
            </w:r>
          </w:p>
        </w:tc>
      </w:tr>
      <w:tr w:rsidR="00B42484" w:rsidRPr="00E345FB" w:rsidTr="00B42484">
        <w:trPr>
          <w:trHeight w:val="447"/>
          <w:jc w:val="center"/>
        </w:trPr>
        <w:tc>
          <w:tcPr>
            <w:tcW w:w="413" w:type="pct"/>
            <w:shd w:val="clear" w:color="auto" w:fill="auto"/>
          </w:tcPr>
          <w:p w:rsidR="00937999" w:rsidRPr="00E345FB" w:rsidRDefault="00937999" w:rsidP="00E345FB">
            <w:pPr>
              <w:suppressAutoHyphens/>
              <w:jc w:val="both"/>
              <w:rPr>
                <w:color w:val="000000"/>
                <w:sz w:val="22"/>
                <w:szCs w:val="22"/>
                <w:lang w:val="en-GB"/>
              </w:rPr>
            </w:pPr>
            <w:r w:rsidRPr="00E345FB">
              <w:rPr>
                <w:color w:val="000000"/>
                <w:sz w:val="22"/>
                <w:szCs w:val="22"/>
                <w:lang w:val="en-GB"/>
              </w:rPr>
              <w:t>10</w:t>
            </w:r>
          </w:p>
        </w:tc>
        <w:tc>
          <w:tcPr>
            <w:tcW w:w="1276"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Liedtka, J.</w:t>
            </w:r>
          </w:p>
        </w:tc>
        <w:tc>
          <w:tcPr>
            <w:tcW w:w="2160"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Perspective: Linking Design Thinking with Innovation Outcomes through Cognitive Bias Reduction</w:t>
            </w:r>
          </w:p>
        </w:tc>
        <w:tc>
          <w:tcPr>
            <w:tcW w:w="337"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2015</w:t>
            </w:r>
          </w:p>
        </w:tc>
        <w:tc>
          <w:tcPr>
            <w:tcW w:w="323"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268</w:t>
            </w:r>
          </w:p>
        </w:tc>
        <w:tc>
          <w:tcPr>
            <w:tcW w:w="491" w:type="pct"/>
            <w:shd w:val="clear" w:color="auto" w:fill="auto"/>
          </w:tcPr>
          <w:p w:rsidR="00937999" w:rsidRPr="00E345FB" w:rsidRDefault="00937999" w:rsidP="00E345FB">
            <w:pPr>
              <w:suppressAutoHyphens/>
              <w:jc w:val="both"/>
              <w:rPr>
                <w:color w:val="000000"/>
                <w:sz w:val="22"/>
                <w:szCs w:val="22"/>
                <w:lang w:val="en-GB"/>
              </w:rPr>
            </w:pPr>
            <w:r w:rsidRPr="00E345FB">
              <w:rPr>
                <w:sz w:val="22"/>
                <w:szCs w:val="22"/>
              </w:rPr>
              <w:t>38.29</w:t>
            </w:r>
          </w:p>
        </w:tc>
      </w:tr>
    </w:tbl>
    <w:p w:rsidR="00081BE6" w:rsidRPr="00E345FB" w:rsidRDefault="00801E74" w:rsidP="00E345FB">
      <w:pPr>
        <w:autoSpaceDE w:val="0"/>
        <w:autoSpaceDN w:val="0"/>
        <w:adjustRightInd w:val="0"/>
        <w:jc w:val="both"/>
        <w:rPr>
          <w:color w:val="000000"/>
          <w:sz w:val="22"/>
          <w:szCs w:val="22"/>
          <w:lang w:val="en-MY" w:eastAsia="en-US"/>
        </w:rPr>
      </w:pPr>
      <w:r>
        <w:rPr>
          <w:noProof/>
          <w:color w:val="000000"/>
          <w:sz w:val="22"/>
          <w:szCs w:val="22"/>
          <w:lang w:eastAsia="en-US"/>
        </w:rPr>
        <w:drawing>
          <wp:anchor distT="0" distB="0" distL="114300" distR="114300" simplePos="0" relativeHeight="251695104" behindDoc="1" locked="0" layoutInCell="1" allowOverlap="1">
            <wp:simplePos x="0" y="0"/>
            <wp:positionH relativeFrom="column">
              <wp:posOffset>514350</wp:posOffset>
            </wp:positionH>
            <wp:positionV relativeFrom="paragraph">
              <wp:posOffset>112395</wp:posOffset>
            </wp:positionV>
            <wp:extent cx="4037330" cy="2371725"/>
            <wp:effectExtent l="0" t="0" r="0" b="0"/>
            <wp:wrapSquare wrapText="bothSides"/>
            <wp:docPr id="48" name="Picture 48" descr="A picture containing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outdoor object&#10;&#10;Description automatically generated"/>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37330" cy="2371725"/>
                    </a:xfrm>
                    <a:prstGeom prst="rect">
                      <a:avLst/>
                    </a:prstGeom>
                  </pic:spPr>
                </pic:pic>
              </a:graphicData>
            </a:graphic>
          </wp:anchor>
        </w:drawing>
      </w:r>
    </w:p>
    <w:p w:rsidR="00220426" w:rsidRPr="00E345FB" w:rsidRDefault="00220426" w:rsidP="00E345FB">
      <w:pPr>
        <w:autoSpaceDE w:val="0"/>
        <w:autoSpaceDN w:val="0"/>
        <w:adjustRightInd w:val="0"/>
        <w:jc w:val="both"/>
        <w:rPr>
          <w:color w:val="000000"/>
          <w:sz w:val="22"/>
          <w:szCs w:val="22"/>
          <w:lang w:val="en-MY" w:eastAsia="en-US"/>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E345FB" w:rsidRPr="00801E74" w:rsidRDefault="00801E74" w:rsidP="00801E74">
      <w:pPr>
        <w:autoSpaceDE w:val="0"/>
        <w:autoSpaceDN w:val="0"/>
        <w:adjustRightInd w:val="0"/>
        <w:jc w:val="center"/>
        <w:rPr>
          <w:color w:val="000000"/>
          <w:sz w:val="22"/>
          <w:szCs w:val="22"/>
          <w:lang w:val="en-MY" w:eastAsia="en-US"/>
        </w:rPr>
      </w:pPr>
      <w:r w:rsidRPr="00E345FB">
        <w:rPr>
          <w:b/>
          <w:bCs/>
          <w:sz w:val="22"/>
          <w:szCs w:val="22"/>
          <w:lang w:val="en-MY" w:eastAsia="en-US"/>
        </w:rPr>
        <w:t>Figure 5</w:t>
      </w:r>
      <w:r w:rsidRPr="00E345FB">
        <w:rPr>
          <w:sz w:val="22"/>
          <w:szCs w:val="22"/>
          <w:lang w:val="en-MY" w:eastAsia="en-US"/>
        </w:rPr>
        <w:t xml:space="preserve">. </w:t>
      </w:r>
      <w:bookmarkStart w:id="19" w:name="_Hlk99358375"/>
      <w:r w:rsidRPr="00E345FB">
        <w:rPr>
          <w:color w:val="000000"/>
          <w:sz w:val="22"/>
          <w:szCs w:val="22"/>
          <w:lang w:val="en-MY" w:eastAsia="en-US"/>
        </w:rPr>
        <w:t>Network visualization map of co-citation analysis for journals on design thinking from 2000 to 2021.</w:t>
      </w:r>
      <w:bookmarkEnd w:id="19"/>
    </w:p>
    <w:p w:rsidR="00E345FB" w:rsidRDefault="00E345FB" w:rsidP="00E345FB">
      <w:pPr>
        <w:autoSpaceDE w:val="0"/>
        <w:autoSpaceDN w:val="0"/>
        <w:adjustRightInd w:val="0"/>
        <w:jc w:val="both"/>
        <w:rPr>
          <w:b/>
          <w:i/>
          <w:iCs/>
          <w:sz w:val="22"/>
          <w:szCs w:val="22"/>
          <w:lang w:val="en-GB"/>
        </w:rPr>
      </w:pPr>
    </w:p>
    <w:p w:rsidR="00E345FB" w:rsidRDefault="00E345FB" w:rsidP="00E345FB">
      <w:pPr>
        <w:autoSpaceDE w:val="0"/>
        <w:autoSpaceDN w:val="0"/>
        <w:adjustRightInd w:val="0"/>
        <w:jc w:val="both"/>
        <w:rPr>
          <w:b/>
          <w:i/>
          <w:iCs/>
          <w:sz w:val="22"/>
          <w:szCs w:val="22"/>
          <w:lang w:val="en-GB"/>
        </w:rPr>
      </w:pPr>
    </w:p>
    <w:p w:rsidR="00947AD3" w:rsidRDefault="00947AD3" w:rsidP="00E345FB">
      <w:pPr>
        <w:autoSpaceDE w:val="0"/>
        <w:autoSpaceDN w:val="0"/>
        <w:adjustRightInd w:val="0"/>
        <w:jc w:val="both"/>
        <w:rPr>
          <w:b/>
          <w:i/>
          <w:iCs/>
          <w:sz w:val="22"/>
          <w:szCs w:val="22"/>
          <w:lang w:val="en-GB"/>
        </w:rPr>
        <w:sectPr w:rsidR="00947AD3" w:rsidSect="000479B9">
          <w:type w:val="continuous"/>
          <w:pgSz w:w="11907" w:h="16840" w:code="9"/>
          <w:pgMar w:top="1440" w:right="1440" w:bottom="1440" w:left="1440" w:header="709" w:footer="709" w:gutter="0"/>
          <w:cols w:space="284"/>
          <w:titlePg/>
          <w:docGrid w:linePitch="360"/>
        </w:sectPr>
      </w:pPr>
    </w:p>
    <w:p w:rsidR="00B707DA" w:rsidRPr="00E345FB" w:rsidRDefault="007C2C0D" w:rsidP="00E345FB">
      <w:pPr>
        <w:autoSpaceDE w:val="0"/>
        <w:autoSpaceDN w:val="0"/>
        <w:adjustRightInd w:val="0"/>
        <w:jc w:val="both"/>
        <w:rPr>
          <w:b/>
          <w:sz w:val="22"/>
          <w:szCs w:val="22"/>
          <w:lang w:val="en-GB"/>
        </w:rPr>
      </w:pPr>
      <w:r w:rsidRPr="00E345FB">
        <w:rPr>
          <w:b/>
          <w:i/>
          <w:iCs/>
          <w:sz w:val="22"/>
          <w:szCs w:val="22"/>
          <w:lang w:val="en-GB"/>
        </w:rPr>
        <w:lastRenderedPageBreak/>
        <w:t>The Most Used Author Keyword</w:t>
      </w:r>
      <w:bookmarkStart w:id="20" w:name="_Hlk99359953"/>
      <w:r w:rsidR="00FF1960" w:rsidRPr="00E345FB">
        <w:rPr>
          <w:b/>
          <w:i/>
          <w:iCs/>
          <w:sz w:val="22"/>
          <w:szCs w:val="22"/>
          <w:lang w:val="en-GB"/>
        </w:rPr>
        <w:t xml:space="preserve"> and Subject Area</w:t>
      </w:r>
    </w:p>
    <w:bookmarkEnd w:id="20"/>
    <w:p w:rsidR="00073105" w:rsidRPr="00E345FB" w:rsidRDefault="000E70F3" w:rsidP="00E345FB">
      <w:pPr>
        <w:pStyle w:val="SAP-TableHeadingSingleline"/>
        <w:suppressAutoHyphens/>
        <w:spacing w:before="0" w:after="0" w:line="240" w:lineRule="auto"/>
        <w:jc w:val="both"/>
        <w:rPr>
          <w:bCs w:val="0"/>
          <w:sz w:val="22"/>
          <w:szCs w:val="22"/>
          <w:lang w:val="en-GB"/>
        </w:rPr>
      </w:pPr>
      <w:r w:rsidRPr="00E345FB">
        <w:rPr>
          <w:bCs w:val="0"/>
          <w:sz w:val="22"/>
          <w:szCs w:val="22"/>
          <w:lang w:val="en-GB"/>
        </w:rPr>
        <w:t xml:space="preserve">The author's keywords help us determine the connections </w:t>
      </w:r>
      <w:r w:rsidR="00497C52" w:rsidRPr="00E345FB">
        <w:rPr>
          <w:bCs w:val="0"/>
          <w:sz w:val="22"/>
          <w:szCs w:val="22"/>
          <w:lang w:val="en-GB"/>
        </w:rPr>
        <w:t xml:space="preserve">between a research field and others </w:t>
      </w:r>
      <w:r w:rsidRPr="00E345FB">
        <w:rPr>
          <w:bCs w:val="0"/>
          <w:sz w:val="22"/>
          <w:szCs w:val="22"/>
          <w:lang w:val="en-GB"/>
        </w:rPr>
        <w:t>related to it. Furthermore, the frequency of keywords assists in identifying the attempt to highlight covered in this field's publications. A co-occurrence analysis was selected from the menu of the VOSviewer systems to generate a network map of the most frequently used author keywords based on bibliographic data.</w:t>
      </w:r>
      <w:r w:rsidR="00865DBD" w:rsidRPr="00E345FB">
        <w:rPr>
          <w:bCs w:val="0"/>
          <w:sz w:val="22"/>
          <w:szCs w:val="22"/>
          <w:lang w:val="en-GB"/>
        </w:rPr>
        <w:t xml:space="preserve">The main contents of the study are summarized </w:t>
      </w:r>
      <w:r w:rsidR="00497C52" w:rsidRPr="00E345FB">
        <w:rPr>
          <w:bCs w:val="0"/>
          <w:sz w:val="22"/>
          <w:szCs w:val="22"/>
          <w:lang w:val="en-GB"/>
        </w:rPr>
        <w:t>through</w:t>
      </w:r>
      <w:r w:rsidR="00865DBD" w:rsidRPr="00E345FB">
        <w:rPr>
          <w:bCs w:val="0"/>
          <w:sz w:val="22"/>
          <w:szCs w:val="22"/>
          <w:lang w:val="en-GB"/>
        </w:rPr>
        <w:t xml:space="preserve"> keywords. The keywords in an article can also provide helpful information, including goals, techniques, and perspectives </w:t>
      </w:r>
      <w:r w:rsidR="00064DD5" w:rsidRPr="00E345FB">
        <w:rPr>
          <w:bCs w:val="0"/>
          <w:sz w:val="22"/>
          <w:szCs w:val="22"/>
          <w:lang w:val="en-GB"/>
        </w:rPr>
        <w:fldChar w:fldCharType="begin" w:fldLock="1"/>
      </w:r>
      <w:r w:rsidR="00865DBD" w:rsidRPr="00E345FB">
        <w:rPr>
          <w:bCs w:val="0"/>
          <w:sz w:val="22"/>
          <w:szCs w:val="22"/>
          <w:lang w:val="en-GB"/>
        </w:rPr>
        <w:instrText>ADDIN CSL_CITATION {"citationItems":[{"id":"ITEM-1","itemData":{"DOI":"10.1016/j.resconrec.2018.01.002","ISSN":"18790658","abstract":"Trade plays an important role in redistributing resources and also brings significant environmental impacts to involved countries. This relatively complex research domain of international trade and environmental burden shifts is informed through study of embodied environmental flows of products. Research trends to identify features of international trade embodied flows between 1997 and 2016 are determined through a bibliometric study. Research contribution of countries, authors, institutions and journals are described. Co-citation and network analyses are completed. Results show that there has been significant research interest increase on this topic. Given the interdisciplinary and global nature of this topic, increases in countries, author, and institutional collaborations has occurred. USA, China, the Netherlands, the United Kingdom and Norway were the top 5 countries with high academic influence, and country as USA and institution as Chinese Academy of Sciences has the largest number of collaborations, respectively. Embodied flows such as carbon emission and water are popular ones associated with international trade in the given period, and the most popular methodological tool is Input/Output Analysis. In addition, hotspots which extracted from keywords are analyzed, additional avenues of research are also discussed in this study.","author":[{"dropping-particle":"","family":"Tian","given":"Xu","non-dropping-particle":"","parse-names":false,"suffix":""},{"dropping-particle":"","family":"Geng","given":"Yong","non-dropping-particle":"","parse-names":false,"suffix":""},{"dropping-particle":"","family":"Sarkis","given":"Joseph","non-dropping-particle":"","parse-names":false,"suffix":""},{"dropping-particle":"","family":"Zhong","given":"Shaozhuo","non-dropping-particle":"","parse-names":false,"suffix":""}],"container-title":"Resources, Conservation and Recycling","id":"ITEM-1","issue":"September 2017","issued":{"date-parts":[["2018"]]},"page":"148-157","publisher":"Elsevier","title":"Trends and features of embodied flows associated with international trade based on bibliometric analysis","type":"article-journal","volume":"131"},"uris":["http://www.mendeley.com/documents/?uuid=80492b22-e26d-445d-91ba-3f8dd5a1c726"]}],"mendeley":{"formattedCitation":"(Tian et al., 2018)","plainTextFormattedCitation":"(Tian et al., 2018)","previouslyFormattedCitation":"(Tian et al., 2018)"},"properties":{"noteIndex":0},"schema":"https://github.com/citation-style-language/schema/raw/master/csl-citation.json"}</w:instrText>
      </w:r>
      <w:r w:rsidR="00064DD5" w:rsidRPr="00E345FB">
        <w:rPr>
          <w:bCs w:val="0"/>
          <w:sz w:val="22"/>
          <w:szCs w:val="22"/>
          <w:lang w:val="en-GB"/>
        </w:rPr>
        <w:fldChar w:fldCharType="separate"/>
      </w:r>
      <w:r w:rsidR="00865DBD" w:rsidRPr="00E345FB">
        <w:rPr>
          <w:bCs w:val="0"/>
          <w:noProof/>
          <w:sz w:val="22"/>
          <w:szCs w:val="22"/>
          <w:lang w:val="en-GB"/>
        </w:rPr>
        <w:t>(Tian et al., 2018)</w:t>
      </w:r>
      <w:r w:rsidR="00064DD5" w:rsidRPr="00E345FB">
        <w:rPr>
          <w:bCs w:val="0"/>
          <w:sz w:val="22"/>
          <w:szCs w:val="22"/>
          <w:lang w:val="en-GB"/>
        </w:rPr>
        <w:fldChar w:fldCharType="end"/>
      </w:r>
      <w:r w:rsidR="00865DBD" w:rsidRPr="00E345FB">
        <w:rPr>
          <w:bCs w:val="0"/>
          <w:sz w:val="22"/>
          <w:szCs w:val="22"/>
          <w:lang w:val="en-GB"/>
        </w:rPr>
        <w:t xml:space="preserve">. As a result, keyword frequency analysis is essential for analyzing hot topics and trends in the field </w:t>
      </w:r>
      <w:r w:rsidR="00064DD5" w:rsidRPr="00E345FB">
        <w:rPr>
          <w:bCs w:val="0"/>
          <w:sz w:val="22"/>
          <w:szCs w:val="22"/>
          <w:lang w:val="en-GB"/>
        </w:rPr>
        <w:fldChar w:fldCharType="begin" w:fldLock="1"/>
      </w:r>
      <w:r w:rsidR="00E94863" w:rsidRPr="00E345FB">
        <w:rPr>
          <w:bCs w:val="0"/>
          <w:sz w:val="22"/>
          <w:szCs w:val="22"/>
          <w:lang w:val="en-GB"/>
        </w:rPr>
        <w:instrText>ADDIN CSL_CITATION {"citationItems":[{"id":"ITEM-1","itemData":{"DOI":"10.1016/j.jclepro.2018.06.183","ISSN":"09596526","abstract":"To clarify the current situation, hotspots, and development trends, in the field of climate change adaptation, we analysed a massive literature dataset from the Web of Science database by bibliometric method. By characterising the data about each publication, the result indicate that the field of climate change adaptation has entered a stage of rapid development. The USA occupies a leading position in terms of comprehensive strength with the largest publications output as well as a greater influence therewith. The most productive journal, author, and institution are Climatic Change, Ford JD from Canada, and The Chinese Academy of Science, respectively. Collaboration in this field continues to strengthen, but the growth rates at national levels are relatively low. In addition, the frequency and co-occurrence analysis of keywords reveals ten important research topics: climate change, adaptation, vulnerability, ecosystem, socio-economic system, agriculture, region, extreme event, mitigation, and sustainability, as the foci of climate change adaptation. “Vulnerability” is in a core position in all keywords with the strongest betweenness therein. The results of this work will help researchers clarify the current situation in climate change adaptation science but also provide guidance for future research.","author":[{"dropping-particle":"","family":"Wang","given":"Zhaohua","non-dropping-particle":"","parse-names":false,"suffix":""},{"dropping-particle":"","family":"Zhao","given":"Yuandong","non-dropping-particle":"","parse-names":false,"suffix":""},{"dropping-particle":"","family":"Wang","given":"Bo","non-dropping-particle":"","parse-names":false,"suffix":""}],"container-title":"Journal of Cleaner Production","id":"ITEM-1","issued":{"date-parts":[["2018"]]},"page":"1072-1082","publisher":"Elsevier Ltd","title":"A bibliometric analysis of climate change adaptation based on massive research literature data","type":"article-journal","volume":"199"},"uris":["http://www.mendeley.com/documents/?uuid=89de02c5-fe34-42aa-a33d-9a531eb47ddc"]}],"mendeley":{"formattedCitation":"(Z. Wang et al., 2018)","plainTextFormattedCitation":"(Z. Wang et al., 2018)","previouslyFormattedCitation":"(Z. Wang et al., 2018)"},"properties":{"noteIndex":0},"schema":"https://github.com/citation-style-language/schema/raw/master/csl-citation.json"}</w:instrText>
      </w:r>
      <w:r w:rsidR="00064DD5" w:rsidRPr="00E345FB">
        <w:rPr>
          <w:bCs w:val="0"/>
          <w:sz w:val="22"/>
          <w:szCs w:val="22"/>
          <w:lang w:val="en-GB"/>
        </w:rPr>
        <w:fldChar w:fldCharType="separate"/>
      </w:r>
      <w:r w:rsidR="00E94863" w:rsidRPr="00E345FB">
        <w:rPr>
          <w:bCs w:val="0"/>
          <w:noProof/>
          <w:sz w:val="22"/>
          <w:szCs w:val="22"/>
          <w:lang w:val="en-GB"/>
        </w:rPr>
        <w:t>(Z. Wang et al., 2018)</w:t>
      </w:r>
      <w:r w:rsidR="00064DD5" w:rsidRPr="00E345FB">
        <w:rPr>
          <w:bCs w:val="0"/>
          <w:sz w:val="22"/>
          <w:szCs w:val="22"/>
          <w:lang w:val="en-GB"/>
        </w:rPr>
        <w:fldChar w:fldCharType="end"/>
      </w:r>
      <w:r w:rsidR="00865DBD" w:rsidRPr="00E345FB">
        <w:rPr>
          <w:bCs w:val="0"/>
          <w:sz w:val="22"/>
          <w:szCs w:val="22"/>
          <w:lang w:val="en-GB"/>
        </w:rPr>
        <w:t>.</w:t>
      </w:r>
    </w:p>
    <w:p w:rsidR="00865DBD" w:rsidRPr="00E345FB" w:rsidRDefault="00865DBD" w:rsidP="00E345FB">
      <w:pPr>
        <w:pStyle w:val="SAP-TableHeadingSingleline"/>
        <w:suppressAutoHyphens/>
        <w:spacing w:before="0" w:after="0" w:line="240" w:lineRule="auto"/>
        <w:jc w:val="both"/>
        <w:rPr>
          <w:bCs w:val="0"/>
          <w:sz w:val="22"/>
          <w:szCs w:val="22"/>
          <w:lang w:val="en-GB"/>
        </w:rPr>
      </w:pPr>
    </w:p>
    <w:p w:rsidR="00073105" w:rsidRPr="00E345FB" w:rsidRDefault="00A274F2" w:rsidP="00E345FB">
      <w:pPr>
        <w:pStyle w:val="SAP-TableHeadingSingleline"/>
        <w:suppressAutoHyphens/>
        <w:spacing w:before="0" w:after="0" w:line="240" w:lineRule="auto"/>
        <w:jc w:val="both"/>
        <w:rPr>
          <w:b/>
          <w:sz w:val="22"/>
          <w:szCs w:val="22"/>
          <w:lang w:val="en-GB"/>
        </w:rPr>
      </w:pPr>
      <w:r w:rsidRPr="00E345FB">
        <w:rPr>
          <w:bCs w:val="0"/>
          <w:sz w:val="22"/>
          <w:szCs w:val="22"/>
          <w:lang w:val="en-GB"/>
        </w:rPr>
        <w:t>From</w:t>
      </w:r>
      <w:r w:rsidR="00900E72" w:rsidRPr="00E345FB">
        <w:rPr>
          <w:bCs w:val="0"/>
          <w:sz w:val="22"/>
          <w:szCs w:val="22"/>
          <w:lang w:val="en-GB"/>
        </w:rPr>
        <w:t xml:space="preserve"> 2000 to 2021, a co-occurrence analysis of author keywords was conducted. A minimum of </w:t>
      </w:r>
      <w:r w:rsidR="00900E72" w:rsidRPr="00E345FB">
        <w:rPr>
          <w:bCs w:val="0"/>
          <w:sz w:val="22"/>
          <w:szCs w:val="22"/>
          <w:lang w:val="en-GB"/>
        </w:rPr>
        <w:lastRenderedPageBreak/>
        <w:t xml:space="preserve">10 keyword occurrences was selected as a threshold for the study. Out of 3240 keywords, 59 were positively connected. There are five major clusters in the results (Figure 6). Each clusterreflects a subfield of design education research. A keyword resembling (redcluster) </w:t>
      </w:r>
      <w:r w:rsidR="0090493F" w:rsidRPr="00E345FB">
        <w:rPr>
          <w:bCs w:val="0"/>
          <w:sz w:val="22"/>
          <w:szCs w:val="22"/>
          <w:lang w:val="en-GB"/>
        </w:rPr>
        <w:t xml:space="preserve">are </w:t>
      </w:r>
      <w:r w:rsidR="00900E72" w:rsidRPr="00E345FB">
        <w:rPr>
          <w:bCs w:val="0"/>
          <w:sz w:val="22"/>
          <w:szCs w:val="22"/>
          <w:lang w:val="en-GB"/>
        </w:rPr>
        <w:t>"</w:t>
      </w:r>
      <w:r w:rsidR="0090493F" w:rsidRPr="00E345FB">
        <w:rPr>
          <w:bCs w:val="0"/>
          <w:sz w:val="22"/>
          <w:szCs w:val="22"/>
          <w:lang w:val="en-GB"/>
        </w:rPr>
        <w:t>design", "design education", "production", and "technology</w:t>
      </w:r>
      <w:r w:rsidR="00900E72" w:rsidRPr="00E345FB">
        <w:rPr>
          <w:bCs w:val="0"/>
          <w:sz w:val="22"/>
          <w:szCs w:val="22"/>
          <w:lang w:val="en-GB"/>
        </w:rPr>
        <w:t>" are related to the analytical aspects of design thinking, as seen in the green, yellow, blue, red, and purple clusters. Keywords suchas "</w:t>
      </w:r>
      <w:r w:rsidR="0090493F" w:rsidRPr="00E345FB">
        <w:rPr>
          <w:bCs w:val="0"/>
          <w:sz w:val="22"/>
          <w:szCs w:val="22"/>
          <w:lang w:val="en-GB"/>
        </w:rPr>
        <w:t>innovation”, "creativity", "problem-based learning", and "collaboration</w:t>
      </w:r>
      <w:r w:rsidR="00900E72" w:rsidRPr="00E345FB">
        <w:rPr>
          <w:bCs w:val="0"/>
          <w:sz w:val="22"/>
          <w:szCs w:val="22"/>
          <w:lang w:val="en-GB"/>
        </w:rPr>
        <w:t>" are emphasized in the green cluster, which focuseson the fundamental topic of design thinking education.Next, in the blue cluster are keywords like “</w:t>
      </w:r>
      <w:r w:rsidR="0090493F" w:rsidRPr="00E345FB">
        <w:rPr>
          <w:bCs w:val="0"/>
          <w:sz w:val="22"/>
          <w:szCs w:val="22"/>
          <w:lang w:val="en-GB"/>
        </w:rPr>
        <w:t>design thinking”, “sustainability”, “conceptual”, “values”, and “co-creation</w:t>
      </w:r>
      <w:r w:rsidR="00900E72" w:rsidRPr="00E345FB">
        <w:rPr>
          <w:bCs w:val="0"/>
          <w:sz w:val="22"/>
          <w:szCs w:val="22"/>
          <w:lang w:val="en-GB"/>
        </w:rPr>
        <w:t>” that are associated with the core of design thinking application.</w:t>
      </w:r>
    </w:p>
    <w:p w:rsidR="00947AD3" w:rsidRDefault="00947AD3" w:rsidP="00E345FB">
      <w:pPr>
        <w:pStyle w:val="SAP-TableHeadingSingleline"/>
        <w:suppressAutoHyphens/>
        <w:spacing w:before="0" w:after="0" w:line="240" w:lineRule="auto"/>
        <w:jc w:val="both"/>
        <w:rPr>
          <w:b/>
          <w:sz w:val="22"/>
          <w:szCs w:val="22"/>
          <w:lang w:val="en-GB"/>
        </w:rPr>
        <w:sectPr w:rsidR="00947AD3" w:rsidSect="00947AD3">
          <w:type w:val="continuous"/>
          <w:pgSz w:w="11907" w:h="16840" w:code="9"/>
          <w:pgMar w:top="1440" w:right="1440" w:bottom="1440" w:left="1440" w:header="709" w:footer="709" w:gutter="0"/>
          <w:cols w:num="2" w:space="284"/>
          <w:titlePg/>
          <w:docGrid w:linePitch="360"/>
        </w:sectPr>
      </w:pPr>
    </w:p>
    <w:p w:rsidR="00073105" w:rsidRPr="00E345FB" w:rsidRDefault="00865DBD" w:rsidP="00E345FB">
      <w:pPr>
        <w:pStyle w:val="SAP-TableHeadingSingleline"/>
        <w:suppressAutoHyphens/>
        <w:spacing w:before="0" w:after="0" w:line="240" w:lineRule="auto"/>
        <w:jc w:val="both"/>
        <w:rPr>
          <w:b/>
          <w:sz w:val="22"/>
          <w:szCs w:val="22"/>
          <w:lang w:val="en-GB"/>
        </w:rPr>
      </w:pPr>
      <w:r w:rsidRPr="00E345FB">
        <w:rPr>
          <w:b/>
          <w:noProof/>
          <w:sz w:val="22"/>
          <w:szCs w:val="22"/>
          <w:lang w:val="en-US" w:eastAsia="en-US"/>
        </w:rPr>
        <w:lastRenderedPageBreak/>
        <w:drawing>
          <wp:anchor distT="0" distB="0" distL="114300" distR="114300" simplePos="0" relativeHeight="251696128" behindDoc="1" locked="0" layoutInCell="1" allowOverlap="1">
            <wp:simplePos x="0" y="0"/>
            <wp:positionH relativeFrom="column">
              <wp:posOffset>-329184</wp:posOffset>
            </wp:positionH>
            <wp:positionV relativeFrom="paragraph">
              <wp:posOffset>181610</wp:posOffset>
            </wp:positionV>
            <wp:extent cx="6315002" cy="3950208"/>
            <wp:effectExtent l="19050" t="0" r="0" b="0"/>
            <wp:wrapTight wrapText="bothSides">
              <wp:wrapPolygon edited="0">
                <wp:start x="-65" y="0"/>
                <wp:lineTo x="-65" y="21458"/>
                <wp:lineTo x="21568" y="21458"/>
                <wp:lineTo x="21568" y="0"/>
                <wp:lineTo x="-65"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15002" cy="3950208"/>
                    </a:xfrm>
                    <a:prstGeom prst="rect">
                      <a:avLst/>
                    </a:prstGeom>
                    <a:noFill/>
                  </pic:spPr>
                </pic:pic>
              </a:graphicData>
            </a:graphic>
          </wp:anchor>
        </w:drawing>
      </w:r>
    </w:p>
    <w:p w:rsidR="00D94861" w:rsidRPr="00E345FB" w:rsidRDefault="00BC41E1" w:rsidP="00801E74">
      <w:pPr>
        <w:pStyle w:val="SAP-TableHeadingSingleline"/>
        <w:suppressAutoHyphens/>
        <w:spacing w:before="0" w:after="0" w:line="240" w:lineRule="auto"/>
        <w:rPr>
          <w:bCs w:val="0"/>
          <w:sz w:val="22"/>
          <w:szCs w:val="22"/>
          <w:lang w:val="en-GB"/>
        </w:rPr>
      </w:pPr>
      <w:r w:rsidRPr="00E345FB">
        <w:rPr>
          <w:b/>
          <w:sz w:val="22"/>
          <w:szCs w:val="22"/>
          <w:lang w:val="en-GB"/>
        </w:rPr>
        <w:t>Figure 6</w:t>
      </w:r>
      <w:r w:rsidRPr="00E345FB">
        <w:rPr>
          <w:bCs w:val="0"/>
          <w:sz w:val="22"/>
          <w:szCs w:val="22"/>
          <w:lang w:val="en-GB"/>
        </w:rPr>
        <w:t>. Co-occurrence network map of author keywords from articles published on design thinking from 2000 to 2021.</w:t>
      </w:r>
    </w:p>
    <w:p w:rsidR="00073105" w:rsidRPr="00E345FB" w:rsidRDefault="00073105" w:rsidP="00E345FB">
      <w:pPr>
        <w:pStyle w:val="SAP-TableHeadingSingleline"/>
        <w:suppressAutoHyphens/>
        <w:spacing w:before="0" w:after="0" w:line="240" w:lineRule="auto"/>
        <w:jc w:val="both"/>
        <w:rPr>
          <w:b/>
          <w:sz w:val="22"/>
          <w:szCs w:val="22"/>
          <w:lang w:val="en-GB"/>
        </w:rPr>
      </w:pPr>
    </w:p>
    <w:p w:rsidR="00073105" w:rsidRPr="00E345FB" w:rsidRDefault="00073105" w:rsidP="00E345FB">
      <w:pPr>
        <w:pStyle w:val="SAP-TableHeadingSingleline"/>
        <w:suppressAutoHyphens/>
        <w:spacing w:before="0" w:after="0" w:line="240" w:lineRule="auto"/>
        <w:jc w:val="both"/>
        <w:rPr>
          <w:b/>
          <w:sz w:val="22"/>
          <w:szCs w:val="22"/>
          <w:lang w:val="en-GB"/>
        </w:rPr>
      </w:pPr>
    </w:p>
    <w:p w:rsidR="00947AD3" w:rsidRDefault="00947AD3" w:rsidP="00E345FB">
      <w:pPr>
        <w:pStyle w:val="SAP-TableHeadingSingleline"/>
        <w:suppressAutoHyphens/>
        <w:spacing w:before="0" w:after="0" w:line="240" w:lineRule="auto"/>
        <w:jc w:val="both"/>
        <w:rPr>
          <w:bCs w:val="0"/>
          <w:sz w:val="22"/>
          <w:szCs w:val="22"/>
          <w:lang w:val="en-GB"/>
        </w:rPr>
        <w:sectPr w:rsidR="00947AD3" w:rsidSect="000479B9">
          <w:type w:val="continuous"/>
          <w:pgSz w:w="11907" w:h="16840" w:code="9"/>
          <w:pgMar w:top="1440" w:right="1440" w:bottom="1440" w:left="1440" w:header="709" w:footer="709" w:gutter="0"/>
          <w:cols w:space="284"/>
          <w:titlePg/>
          <w:docGrid w:linePitch="360"/>
        </w:sectPr>
      </w:pPr>
    </w:p>
    <w:p w:rsidR="00865DBD" w:rsidRPr="00E345FB" w:rsidRDefault="00902524" w:rsidP="00E345FB">
      <w:pPr>
        <w:pStyle w:val="SAP-TableHeadingSingleline"/>
        <w:suppressAutoHyphens/>
        <w:spacing w:before="0" w:after="0" w:line="240" w:lineRule="auto"/>
        <w:jc w:val="both"/>
        <w:rPr>
          <w:bCs w:val="0"/>
          <w:sz w:val="22"/>
          <w:szCs w:val="22"/>
          <w:lang w:val="en-GB"/>
        </w:rPr>
      </w:pPr>
      <w:r w:rsidRPr="00E345FB">
        <w:rPr>
          <w:bCs w:val="0"/>
          <w:sz w:val="22"/>
          <w:szCs w:val="22"/>
          <w:lang w:val="en-GB"/>
        </w:rPr>
        <w:lastRenderedPageBreak/>
        <w:t xml:space="preserve">Based on the total link strength of the design thinking research publication, Table 7 shows the first 20 keywords. In articles with the highest total link strength, links, and occurrences, the author keyword "design thinking" has been the most frequently utilized(1294 total link strength: 1054 </w:t>
      </w:r>
      <w:r w:rsidR="00497C52" w:rsidRPr="00E345FB">
        <w:rPr>
          <w:bCs w:val="0"/>
          <w:sz w:val="22"/>
          <w:szCs w:val="22"/>
          <w:lang w:val="en-GB"/>
        </w:rPr>
        <w:t>occurrences</w:t>
      </w:r>
      <w:r w:rsidRPr="00E345FB">
        <w:rPr>
          <w:bCs w:val="0"/>
          <w:sz w:val="22"/>
          <w:szCs w:val="22"/>
          <w:lang w:val="en-GB"/>
        </w:rPr>
        <w:t>). "</w:t>
      </w:r>
      <w:r w:rsidR="007F2A95" w:rsidRPr="00E345FB">
        <w:rPr>
          <w:bCs w:val="0"/>
          <w:sz w:val="22"/>
          <w:szCs w:val="22"/>
          <w:lang w:val="en-GB"/>
        </w:rPr>
        <w:t>innovatio</w:t>
      </w:r>
      <w:r w:rsidRPr="00E345FB">
        <w:rPr>
          <w:bCs w:val="0"/>
          <w:sz w:val="22"/>
          <w:szCs w:val="22"/>
          <w:lang w:val="en-GB"/>
        </w:rPr>
        <w:t>n" was the 2nd most common author keyword, with 390 occurrences. "</w:t>
      </w:r>
      <w:r w:rsidR="007F2A95" w:rsidRPr="00E345FB">
        <w:rPr>
          <w:bCs w:val="0"/>
          <w:sz w:val="22"/>
          <w:szCs w:val="22"/>
          <w:lang w:val="en-GB"/>
        </w:rPr>
        <w:t>design</w:t>
      </w:r>
      <w:r w:rsidRPr="00E345FB">
        <w:rPr>
          <w:bCs w:val="0"/>
          <w:sz w:val="22"/>
          <w:szCs w:val="22"/>
          <w:lang w:val="en-GB"/>
        </w:rPr>
        <w:t xml:space="preserve">" and "creativity" are the </w:t>
      </w:r>
      <w:r w:rsidRPr="00E345FB">
        <w:rPr>
          <w:bCs w:val="0"/>
          <w:sz w:val="22"/>
          <w:szCs w:val="22"/>
          <w:lang w:val="en-GB"/>
        </w:rPr>
        <w:lastRenderedPageBreak/>
        <w:t>following most popular author keywords, indicating that this is the most investigated and published aspect of design thinking. The frequency of the most often used author keywords in the articles reviewed in this study paints a picture of design thinking research.</w:t>
      </w:r>
      <w:r w:rsidR="00D037BE" w:rsidRPr="00E345FB">
        <w:rPr>
          <w:bCs w:val="0"/>
          <w:sz w:val="22"/>
          <w:szCs w:val="22"/>
          <w:lang w:val="en-GB"/>
        </w:rPr>
        <w:t>As a result, future research can be derived from the findings.</w:t>
      </w:r>
    </w:p>
    <w:p w:rsidR="00947AD3" w:rsidRDefault="00947AD3" w:rsidP="00E345FB">
      <w:pPr>
        <w:pStyle w:val="SAP-TableHeadingSingleline"/>
        <w:suppressAutoHyphens/>
        <w:spacing w:before="0" w:after="0" w:line="240" w:lineRule="auto"/>
        <w:jc w:val="both"/>
        <w:rPr>
          <w:b/>
          <w:sz w:val="22"/>
          <w:szCs w:val="22"/>
          <w:lang w:val="en-GB"/>
        </w:rPr>
        <w:sectPr w:rsidR="00947AD3" w:rsidSect="00947AD3">
          <w:type w:val="continuous"/>
          <w:pgSz w:w="11907" w:h="16840" w:code="9"/>
          <w:pgMar w:top="1440" w:right="1440" w:bottom="1440" w:left="1440" w:header="709" w:footer="709" w:gutter="0"/>
          <w:cols w:num="2" w:space="284"/>
          <w:titlePg/>
          <w:docGrid w:linePitch="360"/>
        </w:sectPr>
      </w:pPr>
    </w:p>
    <w:p w:rsidR="00865DBD" w:rsidRPr="00E345FB" w:rsidRDefault="00865DBD" w:rsidP="00E345FB">
      <w:pPr>
        <w:pStyle w:val="SAP-TableHeadingSingleline"/>
        <w:suppressAutoHyphens/>
        <w:spacing w:before="0" w:after="0" w:line="240" w:lineRule="auto"/>
        <w:jc w:val="both"/>
        <w:rPr>
          <w:b/>
          <w:sz w:val="22"/>
          <w:szCs w:val="22"/>
          <w:lang w:val="en-GB"/>
        </w:rPr>
      </w:pPr>
    </w:p>
    <w:p w:rsidR="00073105" w:rsidRPr="00E345FB" w:rsidRDefault="00073105" w:rsidP="00801E74">
      <w:pPr>
        <w:pStyle w:val="SAP-TableHeadingSingleline"/>
        <w:suppressAutoHyphens/>
        <w:spacing w:before="0" w:after="0" w:line="240" w:lineRule="auto"/>
        <w:rPr>
          <w:b/>
          <w:sz w:val="22"/>
          <w:szCs w:val="22"/>
          <w:lang w:val="en-GB"/>
        </w:rPr>
      </w:pPr>
    </w:p>
    <w:p w:rsidR="00F12E60" w:rsidRPr="00E345FB" w:rsidRDefault="00B707DA" w:rsidP="00801E74">
      <w:pPr>
        <w:pStyle w:val="SAP-TableHeadingSingleline"/>
        <w:suppressAutoHyphens/>
        <w:spacing w:before="0" w:after="0" w:line="240" w:lineRule="auto"/>
        <w:rPr>
          <w:bCs w:val="0"/>
          <w:sz w:val="22"/>
          <w:szCs w:val="22"/>
          <w:lang w:val="en-GB"/>
        </w:rPr>
      </w:pPr>
      <w:r w:rsidRPr="00E345FB">
        <w:rPr>
          <w:b/>
          <w:sz w:val="22"/>
          <w:szCs w:val="22"/>
          <w:lang w:val="en-GB"/>
        </w:rPr>
        <w:t xml:space="preserve">Table </w:t>
      </w:r>
      <w:r w:rsidR="000A70BF" w:rsidRPr="00E345FB">
        <w:rPr>
          <w:b/>
          <w:sz w:val="22"/>
          <w:szCs w:val="22"/>
          <w:lang w:val="en-GB"/>
        </w:rPr>
        <w:t>7</w:t>
      </w:r>
      <w:r w:rsidR="00D64D71" w:rsidRPr="00E345FB">
        <w:rPr>
          <w:b/>
          <w:sz w:val="22"/>
          <w:szCs w:val="22"/>
          <w:lang w:val="en-GB"/>
        </w:rPr>
        <w:t>.</w:t>
      </w:r>
      <w:bookmarkStart w:id="21" w:name="_Hlk99361526"/>
      <w:r w:rsidRPr="00E345FB">
        <w:rPr>
          <w:bCs w:val="0"/>
          <w:sz w:val="22"/>
          <w:szCs w:val="22"/>
          <w:lang w:val="en-GB"/>
        </w:rPr>
        <w:t xml:space="preserve">Top </w:t>
      </w:r>
      <w:r w:rsidR="00243C26" w:rsidRPr="00E345FB">
        <w:rPr>
          <w:bCs w:val="0"/>
          <w:sz w:val="22"/>
          <w:szCs w:val="22"/>
          <w:lang w:val="en-GB"/>
        </w:rPr>
        <w:t xml:space="preserve">20 keywords of the design thinking research publication </w:t>
      </w:r>
      <w:bookmarkEnd w:id="21"/>
      <w:r w:rsidR="00243C26" w:rsidRPr="00E345FB">
        <w:rPr>
          <w:bCs w:val="0"/>
          <w:sz w:val="22"/>
          <w:szCs w:val="22"/>
          <w:lang w:val="en-GB"/>
        </w:rPr>
        <w:t>(rank based on total link strength).</w:t>
      </w:r>
    </w:p>
    <w:tbl>
      <w:tblPr>
        <w:tblW w:w="4245" w:type="pct"/>
        <w:jc w:val="center"/>
        <w:tblLook w:val="01E0"/>
      </w:tblPr>
      <w:tblGrid>
        <w:gridCol w:w="2573"/>
        <w:gridCol w:w="1977"/>
        <w:gridCol w:w="1401"/>
        <w:gridCol w:w="983"/>
        <w:gridCol w:w="913"/>
      </w:tblGrid>
      <w:tr w:rsidR="00F12E60" w:rsidRPr="00E345FB" w:rsidTr="00F12E60">
        <w:trPr>
          <w:jc w:val="center"/>
        </w:trPr>
        <w:tc>
          <w:tcPr>
            <w:tcW w:w="1663" w:type="pct"/>
            <w:tcBorders>
              <w:top w:val="single" w:sz="4" w:space="0" w:color="auto"/>
              <w:bottom w:val="single" w:sz="4" w:space="0" w:color="auto"/>
            </w:tcBorders>
            <w:shd w:val="clear" w:color="auto" w:fill="auto"/>
            <w:vAlign w:val="bottom"/>
          </w:tcPr>
          <w:p w:rsidR="00F12E60" w:rsidRPr="00E345FB" w:rsidRDefault="00F12E60" w:rsidP="00E345FB">
            <w:pPr>
              <w:suppressAutoHyphens/>
              <w:jc w:val="both"/>
              <w:rPr>
                <w:b/>
                <w:bCs/>
                <w:color w:val="000000"/>
                <w:sz w:val="22"/>
                <w:szCs w:val="22"/>
                <w:lang w:val="en-GB" w:eastAsia="en-US"/>
              </w:rPr>
            </w:pPr>
            <w:r w:rsidRPr="00E345FB">
              <w:rPr>
                <w:b/>
                <w:bCs/>
                <w:color w:val="000000"/>
                <w:sz w:val="22"/>
                <w:szCs w:val="22"/>
                <w:lang w:val="en-GB"/>
              </w:rPr>
              <w:t>Author Keywords</w:t>
            </w:r>
          </w:p>
        </w:tc>
        <w:tc>
          <w:tcPr>
            <w:tcW w:w="1283" w:type="pct"/>
            <w:tcBorders>
              <w:top w:val="single" w:sz="4" w:space="0" w:color="auto"/>
              <w:bottom w:val="single" w:sz="4" w:space="0" w:color="auto"/>
            </w:tcBorders>
          </w:tcPr>
          <w:p w:rsidR="00F12E60" w:rsidRPr="00E345FB" w:rsidRDefault="00F12E60" w:rsidP="00E345FB">
            <w:pPr>
              <w:suppressAutoHyphens/>
              <w:jc w:val="both"/>
              <w:rPr>
                <w:b/>
                <w:bCs/>
                <w:sz w:val="22"/>
                <w:szCs w:val="22"/>
              </w:rPr>
            </w:pPr>
            <w:r w:rsidRPr="00E345FB">
              <w:rPr>
                <w:b/>
                <w:bCs/>
                <w:sz w:val="22"/>
                <w:szCs w:val="22"/>
              </w:rPr>
              <w:t>Total Link Strength</w:t>
            </w:r>
          </w:p>
        </w:tc>
        <w:tc>
          <w:tcPr>
            <w:tcW w:w="847" w:type="pct"/>
            <w:tcBorders>
              <w:top w:val="single" w:sz="4" w:space="0" w:color="auto"/>
              <w:bottom w:val="single" w:sz="4" w:space="0" w:color="auto"/>
            </w:tcBorders>
          </w:tcPr>
          <w:p w:rsidR="00F12E60" w:rsidRPr="00E345FB" w:rsidRDefault="00F12E60" w:rsidP="00E345FB">
            <w:pPr>
              <w:suppressAutoHyphens/>
              <w:jc w:val="both"/>
              <w:rPr>
                <w:b/>
                <w:bCs/>
                <w:sz w:val="22"/>
                <w:szCs w:val="22"/>
              </w:rPr>
            </w:pPr>
            <w:r w:rsidRPr="00E345FB">
              <w:rPr>
                <w:b/>
                <w:bCs/>
                <w:sz w:val="22"/>
                <w:szCs w:val="22"/>
              </w:rPr>
              <w:t>Occurrences</w:t>
            </w:r>
          </w:p>
        </w:tc>
        <w:tc>
          <w:tcPr>
            <w:tcW w:w="650" w:type="pct"/>
            <w:tcBorders>
              <w:top w:val="single" w:sz="4" w:space="0" w:color="auto"/>
              <w:bottom w:val="single" w:sz="4" w:space="0" w:color="auto"/>
            </w:tcBorders>
          </w:tcPr>
          <w:p w:rsidR="00F12E60" w:rsidRPr="00E345FB" w:rsidRDefault="00F12E60" w:rsidP="00E345FB">
            <w:pPr>
              <w:suppressAutoHyphens/>
              <w:jc w:val="both"/>
              <w:rPr>
                <w:b/>
                <w:bCs/>
                <w:color w:val="000000"/>
                <w:sz w:val="22"/>
                <w:szCs w:val="22"/>
                <w:lang w:val="en-GB"/>
              </w:rPr>
            </w:pPr>
            <w:r w:rsidRPr="00E345FB">
              <w:rPr>
                <w:b/>
                <w:bCs/>
                <w:sz w:val="22"/>
                <w:szCs w:val="22"/>
              </w:rPr>
              <w:t>Links</w:t>
            </w:r>
          </w:p>
        </w:tc>
        <w:tc>
          <w:tcPr>
            <w:tcW w:w="557" w:type="pct"/>
            <w:tcBorders>
              <w:top w:val="single" w:sz="4" w:space="0" w:color="auto"/>
              <w:bottom w:val="single" w:sz="4" w:space="0" w:color="auto"/>
            </w:tcBorders>
          </w:tcPr>
          <w:p w:rsidR="00F12E60" w:rsidRPr="00E345FB" w:rsidRDefault="00F12E60" w:rsidP="00E345FB">
            <w:pPr>
              <w:suppressAutoHyphens/>
              <w:jc w:val="both"/>
              <w:rPr>
                <w:b/>
                <w:bCs/>
                <w:sz w:val="22"/>
                <w:szCs w:val="22"/>
              </w:rPr>
            </w:pPr>
            <w:r w:rsidRPr="00E345FB">
              <w:rPr>
                <w:b/>
                <w:bCs/>
                <w:sz w:val="22"/>
                <w:szCs w:val="22"/>
              </w:rPr>
              <w:t>Cluster</w:t>
            </w:r>
          </w:p>
        </w:tc>
      </w:tr>
      <w:tr w:rsidR="00F12E60" w:rsidRPr="00E345FB" w:rsidTr="00F12E60">
        <w:trPr>
          <w:jc w:val="center"/>
        </w:trPr>
        <w:tc>
          <w:tcPr>
            <w:tcW w:w="1663" w:type="pct"/>
            <w:tcBorders>
              <w:top w:val="single" w:sz="4" w:space="0" w:color="auto"/>
            </w:tcBorders>
            <w:shd w:val="clear" w:color="auto" w:fill="auto"/>
          </w:tcPr>
          <w:p w:rsidR="00F12E60" w:rsidRPr="00E345FB" w:rsidRDefault="00F12E60" w:rsidP="00E345FB">
            <w:pPr>
              <w:suppressAutoHyphens/>
              <w:jc w:val="both"/>
              <w:rPr>
                <w:color w:val="000000"/>
                <w:sz w:val="22"/>
                <w:szCs w:val="22"/>
                <w:lang w:val="en-GB" w:eastAsia="en-US"/>
              </w:rPr>
            </w:pPr>
            <w:bookmarkStart w:id="22" w:name="_Hlk99362455"/>
            <w:bookmarkStart w:id="23" w:name="_Hlk99360926"/>
            <w:r w:rsidRPr="00E345FB">
              <w:rPr>
                <w:sz w:val="22"/>
                <w:szCs w:val="22"/>
              </w:rPr>
              <w:t>Design Thinking</w:t>
            </w:r>
            <w:bookmarkEnd w:id="22"/>
          </w:p>
        </w:tc>
        <w:tc>
          <w:tcPr>
            <w:tcW w:w="1283" w:type="pct"/>
            <w:tcBorders>
              <w:top w:val="single" w:sz="4" w:space="0" w:color="auto"/>
            </w:tcBorders>
          </w:tcPr>
          <w:p w:rsidR="00F12E60" w:rsidRPr="00E345FB" w:rsidRDefault="00F12E60" w:rsidP="00E345FB">
            <w:pPr>
              <w:suppressAutoHyphens/>
              <w:jc w:val="both"/>
              <w:rPr>
                <w:sz w:val="22"/>
                <w:szCs w:val="22"/>
              </w:rPr>
            </w:pPr>
            <w:r w:rsidRPr="00E345FB">
              <w:rPr>
                <w:sz w:val="22"/>
                <w:szCs w:val="22"/>
              </w:rPr>
              <w:t>1294</w:t>
            </w:r>
          </w:p>
        </w:tc>
        <w:tc>
          <w:tcPr>
            <w:tcW w:w="847" w:type="pct"/>
            <w:tcBorders>
              <w:top w:val="single" w:sz="4" w:space="0" w:color="auto"/>
            </w:tcBorders>
          </w:tcPr>
          <w:p w:rsidR="00F12E60" w:rsidRPr="00E345FB" w:rsidRDefault="00F12E60" w:rsidP="00E345FB">
            <w:pPr>
              <w:suppressAutoHyphens/>
              <w:jc w:val="both"/>
              <w:rPr>
                <w:sz w:val="22"/>
                <w:szCs w:val="22"/>
              </w:rPr>
            </w:pPr>
            <w:r w:rsidRPr="00E345FB">
              <w:rPr>
                <w:sz w:val="22"/>
                <w:szCs w:val="22"/>
              </w:rPr>
              <w:t>1054</w:t>
            </w:r>
          </w:p>
        </w:tc>
        <w:tc>
          <w:tcPr>
            <w:tcW w:w="650" w:type="pct"/>
            <w:tcBorders>
              <w:top w:val="single" w:sz="4" w:space="0" w:color="auto"/>
            </w:tcBorders>
          </w:tcPr>
          <w:p w:rsidR="00F12E60" w:rsidRPr="00E345FB" w:rsidRDefault="00F12E60" w:rsidP="00E345FB">
            <w:pPr>
              <w:suppressAutoHyphens/>
              <w:jc w:val="both"/>
              <w:rPr>
                <w:color w:val="000000"/>
                <w:sz w:val="22"/>
                <w:szCs w:val="22"/>
                <w:lang w:val="en-GB"/>
              </w:rPr>
            </w:pPr>
            <w:r w:rsidRPr="00E345FB">
              <w:rPr>
                <w:sz w:val="22"/>
                <w:szCs w:val="22"/>
              </w:rPr>
              <w:t>58</w:t>
            </w:r>
          </w:p>
        </w:tc>
        <w:tc>
          <w:tcPr>
            <w:tcW w:w="557" w:type="pct"/>
            <w:tcBorders>
              <w:top w:val="single" w:sz="4" w:space="0" w:color="auto"/>
            </w:tcBorders>
          </w:tcPr>
          <w:p w:rsidR="00F12E60" w:rsidRPr="00E345FB" w:rsidRDefault="00F12E60" w:rsidP="00E345FB">
            <w:pPr>
              <w:suppressAutoHyphens/>
              <w:jc w:val="both"/>
              <w:rPr>
                <w:sz w:val="22"/>
                <w:szCs w:val="22"/>
              </w:rPr>
            </w:pPr>
            <w:r w:rsidRPr="00E345FB">
              <w:rPr>
                <w:sz w:val="22"/>
                <w:szCs w:val="22"/>
              </w:rPr>
              <w:t>3</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bookmarkStart w:id="24" w:name="_Hlk99362268"/>
            <w:r w:rsidRPr="00E345FB">
              <w:rPr>
                <w:sz w:val="22"/>
                <w:szCs w:val="22"/>
              </w:rPr>
              <w:t>Innovation</w:t>
            </w:r>
          </w:p>
        </w:tc>
        <w:tc>
          <w:tcPr>
            <w:tcW w:w="1283" w:type="pct"/>
          </w:tcPr>
          <w:p w:rsidR="00F12E60" w:rsidRPr="00E345FB" w:rsidRDefault="00F12E60" w:rsidP="00E345FB">
            <w:pPr>
              <w:suppressAutoHyphens/>
              <w:jc w:val="both"/>
              <w:rPr>
                <w:sz w:val="22"/>
                <w:szCs w:val="22"/>
              </w:rPr>
            </w:pPr>
            <w:r w:rsidRPr="00E345FB">
              <w:rPr>
                <w:sz w:val="22"/>
                <w:szCs w:val="22"/>
              </w:rPr>
              <w:t>390</w:t>
            </w:r>
          </w:p>
        </w:tc>
        <w:tc>
          <w:tcPr>
            <w:tcW w:w="847" w:type="pct"/>
          </w:tcPr>
          <w:p w:rsidR="00F12E60" w:rsidRPr="00E345FB" w:rsidRDefault="00F12E60" w:rsidP="00E345FB">
            <w:pPr>
              <w:suppressAutoHyphens/>
              <w:jc w:val="both"/>
              <w:rPr>
                <w:sz w:val="22"/>
                <w:szCs w:val="22"/>
              </w:rPr>
            </w:pPr>
            <w:r w:rsidRPr="00E345FB">
              <w:rPr>
                <w:sz w:val="22"/>
                <w:szCs w:val="22"/>
              </w:rPr>
              <w:t>180</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51</w:t>
            </w:r>
          </w:p>
        </w:tc>
        <w:tc>
          <w:tcPr>
            <w:tcW w:w="557" w:type="pct"/>
          </w:tcPr>
          <w:p w:rsidR="00F12E60" w:rsidRPr="00E345FB" w:rsidRDefault="00F12E60" w:rsidP="00E345FB">
            <w:pPr>
              <w:suppressAutoHyphens/>
              <w:jc w:val="both"/>
              <w:rPr>
                <w:sz w:val="22"/>
                <w:szCs w:val="22"/>
              </w:rPr>
            </w:pPr>
            <w:r w:rsidRPr="00E345FB">
              <w:rPr>
                <w:sz w:val="22"/>
                <w:szCs w:val="22"/>
              </w:rPr>
              <w:t>2</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bookmarkStart w:id="25" w:name="_Hlk99361851"/>
            <w:bookmarkEnd w:id="24"/>
            <w:r w:rsidRPr="00E345FB">
              <w:rPr>
                <w:sz w:val="22"/>
                <w:szCs w:val="22"/>
              </w:rPr>
              <w:t>Design</w:t>
            </w:r>
            <w:bookmarkEnd w:id="25"/>
          </w:p>
        </w:tc>
        <w:tc>
          <w:tcPr>
            <w:tcW w:w="1283" w:type="pct"/>
          </w:tcPr>
          <w:p w:rsidR="00F12E60" w:rsidRPr="00E345FB" w:rsidRDefault="00F12E60" w:rsidP="00E345FB">
            <w:pPr>
              <w:suppressAutoHyphens/>
              <w:jc w:val="both"/>
              <w:rPr>
                <w:sz w:val="22"/>
                <w:szCs w:val="22"/>
              </w:rPr>
            </w:pPr>
            <w:r w:rsidRPr="00E345FB">
              <w:rPr>
                <w:sz w:val="22"/>
                <w:szCs w:val="22"/>
              </w:rPr>
              <w:t>369</w:t>
            </w:r>
          </w:p>
        </w:tc>
        <w:tc>
          <w:tcPr>
            <w:tcW w:w="847" w:type="pct"/>
          </w:tcPr>
          <w:p w:rsidR="00F12E60" w:rsidRPr="00E345FB" w:rsidRDefault="00F12E60" w:rsidP="00E345FB">
            <w:pPr>
              <w:suppressAutoHyphens/>
              <w:jc w:val="both"/>
              <w:rPr>
                <w:sz w:val="22"/>
                <w:szCs w:val="22"/>
              </w:rPr>
            </w:pPr>
            <w:r w:rsidRPr="00E345FB">
              <w:rPr>
                <w:sz w:val="22"/>
                <w:szCs w:val="22"/>
              </w:rPr>
              <w:t>200</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53</w:t>
            </w:r>
          </w:p>
        </w:tc>
        <w:tc>
          <w:tcPr>
            <w:tcW w:w="557" w:type="pct"/>
          </w:tcPr>
          <w:p w:rsidR="00F12E60" w:rsidRPr="00E345FB" w:rsidRDefault="00F12E60" w:rsidP="00E345FB">
            <w:pPr>
              <w:suppressAutoHyphens/>
              <w:jc w:val="both"/>
              <w:rPr>
                <w:sz w:val="22"/>
                <w:szCs w:val="22"/>
              </w:rPr>
            </w:pPr>
            <w:r w:rsidRPr="00E345FB">
              <w:rPr>
                <w:sz w:val="22"/>
                <w:szCs w:val="22"/>
              </w:rPr>
              <w:t>1</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bookmarkStart w:id="26" w:name="_Hlk99362290"/>
            <w:r w:rsidRPr="00E345FB">
              <w:rPr>
                <w:sz w:val="22"/>
                <w:szCs w:val="22"/>
              </w:rPr>
              <w:t>Creativity</w:t>
            </w:r>
          </w:p>
        </w:tc>
        <w:tc>
          <w:tcPr>
            <w:tcW w:w="1283" w:type="pct"/>
          </w:tcPr>
          <w:p w:rsidR="00F12E60" w:rsidRPr="00E345FB" w:rsidRDefault="00F12E60" w:rsidP="00E345FB">
            <w:pPr>
              <w:suppressAutoHyphens/>
              <w:jc w:val="both"/>
              <w:rPr>
                <w:sz w:val="22"/>
                <w:szCs w:val="22"/>
              </w:rPr>
            </w:pPr>
            <w:r w:rsidRPr="00E345FB">
              <w:rPr>
                <w:sz w:val="22"/>
                <w:szCs w:val="22"/>
              </w:rPr>
              <w:t>265</w:t>
            </w:r>
          </w:p>
        </w:tc>
        <w:tc>
          <w:tcPr>
            <w:tcW w:w="847" w:type="pct"/>
          </w:tcPr>
          <w:p w:rsidR="00F12E60" w:rsidRPr="00E345FB" w:rsidRDefault="00F12E60" w:rsidP="00E345FB">
            <w:pPr>
              <w:suppressAutoHyphens/>
              <w:jc w:val="both"/>
              <w:rPr>
                <w:sz w:val="22"/>
                <w:szCs w:val="22"/>
              </w:rPr>
            </w:pPr>
            <w:r w:rsidRPr="00E345FB">
              <w:rPr>
                <w:sz w:val="22"/>
                <w:szCs w:val="22"/>
              </w:rPr>
              <w:t>123</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40</w:t>
            </w:r>
          </w:p>
        </w:tc>
        <w:tc>
          <w:tcPr>
            <w:tcW w:w="557" w:type="pct"/>
          </w:tcPr>
          <w:p w:rsidR="00F12E60" w:rsidRPr="00E345FB" w:rsidRDefault="00F12E60" w:rsidP="00E345FB">
            <w:pPr>
              <w:suppressAutoHyphens/>
              <w:jc w:val="both"/>
              <w:rPr>
                <w:sz w:val="22"/>
                <w:szCs w:val="22"/>
              </w:rPr>
            </w:pPr>
            <w:r w:rsidRPr="00E345FB">
              <w:rPr>
                <w:sz w:val="22"/>
                <w:szCs w:val="22"/>
              </w:rPr>
              <w:t>2</w:t>
            </w:r>
          </w:p>
        </w:tc>
      </w:tr>
      <w:bookmarkEnd w:id="26"/>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r w:rsidRPr="00E345FB">
              <w:rPr>
                <w:sz w:val="22"/>
                <w:szCs w:val="22"/>
              </w:rPr>
              <w:t>Students</w:t>
            </w:r>
          </w:p>
        </w:tc>
        <w:tc>
          <w:tcPr>
            <w:tcW w:w="1283" w:type="pct"/>
          </w:tcPr>
          <w:p w:rsidR="00F12E60" w:rsidRPr="00E345FB" w:rsidRDefault="00F12E60" w:rsidP="00E345FB">
            <w:pPr>
              <w:suppressAutoHyphens/>
              <w:jc w:val="both"/>
              <w:rPr>
                <w:sz w:val="22"/>
                <w:szCs w:val="22"/>
              </w:rPr>
            </w:pPr>
            <w:r w:rsidRPr="00E345FB">
              <w:rPr>
                <w:sz w:val="22"/>
                <w:szCs w:val="22"/>
              </w:rPr>
              <w:t>145</w:t>
            </w:r>
          </w:p>
        </w:tc>
        <w:tc>
          <w:tcPr>
            <w:tcW w:w="847" w:type="pct"/>
          </w:tcPr>
          <w:p w:rsidR="00F12E60" w:rsidRPr="00E345FB" w:rsidRDefault="00F12E60" w:rsidP="00E345FB">
            <w:pPr>
              <w:suppressAutoHyphens/>
              <w:jc w:val="both"/>
              <w:rPr>
                <w:sz w:val="22"/>
                <w:szCs w:val="22"/>
              </w:rPr>
            </w:pPr>
            <w:r w:rsidRPr="00E345FB">
              <w:rPr>
                <w:sz w:val="22"/>
                <w:szCs w:val="22"/>
              </w:rPr>
              <w:t>72</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34</w:t>
            </w:r>
          </w:p>
        </w:tc>
        <w:tc>
          <w:tcPr>
            <w:tcW w:w="557" w:type="pct"/>
          </w:tcPr>
          <w:p w:rsidR="00F12E60" w:rsidRPr="00E345FB" w:rsidRDefault="00F12E60" w:rsidP="00E345FB">
            <w:pPr>
              <w:suppressAutoHyphens/>
              <w:jc w:val="both"/>
              <w:rPr>
                <w:sz w:val="22"/>
                <w:szCs w:val="22"/>
              </w:rPr>
            </w:pPr>
            <w:r w:rsidRPr="00E345FB">
              <w:rPr>
                <w:sz w:val="22"/>
                <w:szCs w:val="22"/>
              </w:rPr>
              <w:t>5</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bookmarkStart w:id="27" w:name="_Hlk99362307"/>
            <w:r w:rsidRPr="00E345FB">
              <w:rPr>
                <w:sz w:val="22"/>
                <w:szCs w:val="22"/>
              </w:rPr>
              <w:t>Problem-Based Learning</w:t>
            </w:r>
          </w:p>
        </w:tc>
        <w:tc>
          <w:tcPr>
            <w:tcW w:w="1283" w:type="pct"/>
          </w:tcPr>
          <w:p w:rsidR="00F12E60" w:rsidRPr="00E345FB" w:rsidRDefault="00F12E60" w:rsidP="00E345FB">
            <w:pPr>
              <w:suppressAutoHyphens/>
              <w:jc w:val="both"/>
              <w:rPr>
                <w:sz w:val="22"/>
                <w:szCs w:val="22"/>
              </w:rPr>
            </w:pPr>
            <w:r w:rsidRPr="00E345FB">
              <w:rPr>
                <w:sz w:val="22"/>
                <w:szCs w:val="22"/>
              </w:rPr>
              <w:t>116</w:t>
            </w:r>
          </w:p>
        </w:tc>
        <w:tc>
          <w:tcPr>
            <w:tcW w:w="847" w:type="pct"/>
          </w:tcPr>
          <w:p w:rsidR="00F12E60" w:rsidRPr="00E345FB" w:rsidRDefault="00F12E60" w:rsidP="00E345FB">
            <w:pPr>
              <w:suppressAutoHyphens/>
              <w:jc w:val="both"/>
              <w:rPr>
                <w:sz w:val="22"/>
                <w:szCs w:val="22"/>
              </w:rPr>
            </w:pPr>
            <w:r w:rsidRPr="00E345FB">
              <w:rPr>
                <w:sz w:val="22"/>
                <w:szCs w:val="22"/>
              </w:rPr>
              <w:t>49</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28</w:t>
            </w:r>
          </w:p>
        </w:tc>
        <w:tc>
          <w:tcPr>
            <w:tcW w:w="557" w:type="pct"/>
          </w:tcPr>
          <w:p w:rsidR="00F12E60" w:rsidRPr="00E345FB" w:rsidRDefault="00F12E60" w:rsidP="00E345FB">
            <w:pPr>
              <w:suppressAutoHyphens/>
              <w:jc w:val="both"/>
              <w:rPr>
                <w:sz w:val="22"/>
                <w:szCs w:val="22"/>
              </w:rPr>
            </w:pPr>
            <w:r w:rsidRPr="00E345FB">
              <w:rPr>
                <w:sz w:val="22"/>
                <w:szCs w:val="22"/>
              </w:rPr>
              <w:t>2</w:t>
            </w:r>
          </w:p>
        </w:tc>
      </w:tr>
      <w:bookmarkEnd w:id="27"/>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r w:rsidRPr="00E345FB">
              <w:rPr>
                <w:sz w:val="22"/>
                <w:szCs w:val="22"/>
              </w:rPr>
              <w:t>Education</w:t>
            </w:r>
          </w:p>
        </w:tc>
        <w:tc>
          <w:tcPr>
            <w:tcW w:w="1283" w:type="pct"/>
          </w:tcPr>
          <w:p w:rsidR="00F12E60" w:rsidRPr="00E345FB" w:rsidRDefault="00F12E60" w:rsidP="00E345FB">
            <w:pPr>
              <w:suppressAutoHyphens/>
              <w:jc w:val="both"/>
              <w:rPr>
                <w:sz w:val="22"/>
                <w:szCs w:val="22"/>
              </w:rPr>
            </w:pPr>
            <w:r w:rsidRPr="00E345FB">
              <w:rPr>
                <w:sz w:val="22"/>
                <w:szCs w:val="22"/>
              </w:rPr>
              <w:t>95</w:t>
            </w:r>
          </w:p>
        </w:tc>
        <w:tc>
          <w:tcPr>
            <w:tcW w:w="847" w:type="pct"/>
          </w:tcPr>
          <w:p w:rsidR="00F12E60" w:rsidRPr="00E345FB" w:rsidRDefault="00F12E60" w:rsidP="00E345FB">
            <w:pPr>
              <w:suppressAutoHyphens/>
              <w:jc w:val="both"/>
              <w:rPr>
                <w:sz w:val="22"/>
                <w:szCs w:val="22"/>
              </w:rPr>
            </w:pPr>
            <w:r w:rsidRPr="00E345FB">
              <w:rPr>
                <w:sz w:val="22"/>
                <w:szCs w:val="22"/>
              </w:rPr>
              <w:t>40</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30</w:t>
            </w:r>
          </w:p>
        </w:tc>
        <w:tc>
          <w:tcPr>
            <w:tcW w:w="557" w:type="pct"/>
          </w:tcPr>
          <w:p w:rsidR="00F12E60" w:rsidRPr="00E345FB" w:rsidRDefault="00F12E60" w:rsidP="00E345FB">
            <w:pPr>
              <w:suppressAutoHyphens/>
              <w:jc w:val="both"/>
              <w:rPr>
                <w:sz w:val="22"/>
                <w:szCs w:val="22"/>
              </w:rPr>
            </w:pPr>
            <w:r w:rsidRPr="00E345FB">
              <w:rPr>
                <w:sz w:val="22"/>
                <w:szCs w:val="22"/>
              </w:rPr>
              <w:t>4</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r w:rsidRPr="00E345FB">
              <w:rPr>
                <w:sz w:val="22"/>
                <w:szCs w:val="22"/>
              </w:rPr>
              <w:t>Teaching</w:t>
            </w:r>
          </w:p>
        </w:tc>
        <w:tc>
          <w:tcPr>
            <w:tcW w:w="1283" w:type="pct"/>
          </w:tcPr>
          <w:p w:rsidR="00F12E60" w:rsidRPr="00E345FB" w:rsidRDefault="00F12E60" w:rsidP="00E345FB">
            <w:pPr>
              <w:suppressAutoHyphens/>
              <w:jc w:val="both"/>
              <w:rPr>
                <w:sz w:val="22"/>
                <w:szCs w:val="22"/>
              </w:rPr>
            </w:pPr>
            <w:r w:rsidRPr="00E345FB">
              <w:rPr>
                <w:sz w:val="22"/>
                <w:szCs w:val="22"/>
              </w:rPr>
              <w:t>92</w:t>
            </w:r>
          </w:p>
        </w:tc>
        <w:tc>
          <w:tcPr>
            <w:tcW w:w="847" w:type="pct"/>
          </w:tcPr>
          <w:p w:rsidR="00F12E60" w:rsidRPr="00E345FB" w:rsidRDefault="00F12E60" w:rsidP="00E345FB">
            <w:pPr>
              <w:suppressAutoHyphens/>
              <w:jc w:val="both"/>
              <w:rPr>
                <w:sz w:val="22"/>
                <w:szCs w:val="22"/>
              </w:rPr>
            </w:pPr>
            <w:r w:rsidRPr="00E345FB">
              <w:rPr>
                <w:sz w:val="22"/>
                <w:szCs w:val="22"/>
              </w:rPr>
              <w:t>45</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25</w:t>
            </w:r>
          </w:p>
        </w:tc>
        <w:tc>
          <w:tcPr>
            <w:tcW w:w="557" w:type="pct"/>
          </w:tcPr>
          <w:p w:rsidR="00F12E60" w:rsidRPr="00E345FB" w:rsidRDefault="00F12E60" w:rsidP="00E345FB">
            <w:pPr>
              <w:suppressAutoHyphens/>
              <w:jc w:val="both"/>
              <w:rPr>
                <w:sz w:val="22"/>
                <w:szCs w:val="22"/>
              </w:rPr>
            </w:pPr>
            <w:r w:rsidRPr="00E345FB">
              <w:rPr>
                <w:sz w:val="22"/>
                <w:szCs w:val="22"/>
              </w:rPr>
              <w:t>4</w:t>
            </w:r>
          </w:p>
        </w:tc>
      </w:tr>
      <w:bookmarkEnd w:id="23"/>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r w:rsidRPr="00E345FB">
              <w:rPr>
                <w:sz w:val="22"/>
                <w:szCs w:val="22"/>
              </w:rPr>
              <w:t>Agile</w:t>
            </w:r>
          </w:p>
        </w:tc>
        <w:tc>
          <w:tcPr>
            <w:tcW w:w="1283" w:type="pct"/>
          </w:tcPr>
          <w:p w:rsidR="00F12E60" w:rsidRPr="00E345FB" w:rsidRDefault="00F12E60" w:rsidP="00E345FB">
            <w:pPr>
              <w:suppressAutoHyphens/>
              <w:jc w:val="both"/>
              <w:rPr>
                <w:sz w:val="22"/>
                <w:szCs w:val="22"/>
              </w:rPr>
            </w:pPr>
            <w:r w:rsidRPr="00E345FB">
              <w:rPr>
                <w:sz w:val="22"/>
                <w:szCs w:val="22"/>
              </w:rPr>
              <w:t>90</w:t>
            </w:r>
          </w:p>
        </w:tc>
        <w:tc>
          <w:tcPr>
            <w:tcW w:w="847" w:type="pct"/>
          </w:tcPr>
          <w:p w:rsidR="00F12E60" w:rsidRPr="00E345FB" w:rsidRDefault="00F12E60" w:rsidP="00E345FB">
            <w:pPr>
              <w:suppressAutoHyphens/>
              <w:jc w:val="both"/>
              <w:rPr>
                <w:sz w:val="22"/>
                <w:szCs w:val="22"/>
              </w:rPr>
            </w:pPr>
            <w:r w:rsidRPr="00E345FB">
              <w:rPr>
                <w:sz w:val="22"/>
                <w:szCs w:val="22"/>
              </w:rPr>
              <w:t>38</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24</w:t>
            </w:r>
          </w:p>
        </w:tc>
        <w:tc>
          <w:tcPr>
            <w:tcW w:w="557" w:type="pct"/>
          </w:tcPr>
          <w:p w:rsidR="00F12E60" w:rsidRPr="00E345FB" w:rsidRDefault="00F12E60" w:rsidP="00E345FB">
            <w:pPr>
              <w:suppressAutoHyphens/>
              <w:jc w:val="both"/>
              <w:rPr>
                <w:sz w:val="22"/>
                <w:szCs w:val="22"/>
              </w:rPr>
            </w:pPr>
            <w:r w:rsidRPr="00E345FB">
              <w:rPr>
                <w:sz w:val="22"/>
                <w:szCs w:val="22"/>
              </w:rPr>
              <w:t>5</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bookmarkStart w:id="28" w:name="_Hlk99362481"/>
            <w:r w:rsidRPr="00E345FB">
              <w:rPr>
                <w:sz w:val="22"/>
                <w:szCs w:val="22"/>
              </w:rPr>
              <w:t>Sustainability</w:t>
            </w:r>
          </w:p>
        </w:tc>
        <w:tc>
          <w:tcPr>
            <w:tcW w:w="1283" w:type="pct"/>
          </w:tcPr>
          <w:p w:rsidR="00F12E60" w:rsidRPr="00E345FB" w:rsidRDefault="00F12E60" w:rsidP="00E345FB">
            <w:pPr>
              <w:suppressAutoHyphens/>
              <w:jc w:val="both"/>
              <w:rPr>
                <w:sz w:val="22"/>
                <w:szCs w:val="22"/>
              </w:rPr>
            </w:pPr>
            <w:r w:rsidRPr="00E345FB">
              <w:rPr>
                <w:sz w:val="22"/>
                <w:szCs w:val="22"/>
              </w:rPr>
              <w:t>87</w:t>
            </w:r>
          </w:p>
        </w:tc>
        <w:tc>
          <w:tcPr>
            <w:tcW w:w="847" w:type="pct"/>
          </w:tcPr>
          <w:p w:rsidR="00F12E60" w:rsidRPr="00E345FB" w:rsidRDefault="00F12E60" w:rsidP="00E345FB">
            <w:pPr>
              <w:suppressAutoHyphens/>
              <w:jc w:val="both"/>
              <w:rPr>
                <w:sz w:val="22"/>
                <w:szCs w:val="22"/>
              </w:rPr>
            </w:pPr>
            <w:r w:rsidRPr="00E345FB">
              <w:rPr>
                <w:sz w:val="22"/>
                <w:szCs w:val="22"/>
              </w:rPr>
              <w:t>41</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29</w:t>
            </w:r>
          </w:p>
        </w:tc>
        <w:tc>
          <w:tcPr>
            <w:tcW w:w="557" w:type="pct"/>
          </w:tcPr>
          <w:p w:rsidR="00F12E60" w:rsidRPr="00E345FB" w:rsidRDefault="00F12E60" w:rsidP="00E345FB">
            <w:pPr>
              <w:suppressAutoHyphens/>
              <w:jc w:val="both"/>
              <w:rPr>
                <w:sz w:val="22"/>
                <w:szCs w:val="22"/>
              </w:rPr>
            </w:pPr>
            <w:r w:rsidRPr="00E345FB">
              <w:rPr>
                <w:sz w:val="22"/>
                <w:szCs w:val="22"/>
              </w:rPr>
              <w:t>3</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bookmarkStart w:id="29" w:name="_Hlk99361877"/>
            <w:bookmarkEnd w:id="28"/>
            <w:r w:rsidRPr="00E345FB">
              <w:rPr>
                <w:sz w:val="22"/>
                <w:szCs w:val="22"/>
              </w:rPr>
              <w:t>Design Education</w:t>
            </w:r>
            <w:bookmarkEnd w:id="29"/>
          </w:p>
        </w:tc>
        <w:tc>
          <w:tcPr>
            <w:tcW w:w="1283" w:type="pct"/>
          </w:tcPr>
          <w:p w:rsidR="00F12E60" w:rsidRPr="00E345FB" w:rsidRDefault="00F12E60" w:rsidP="00E345FB">
            <w:pPr>
              <w:suppressAutoHyphens/>
              <w:jc w:val="both"/>
              <w:rPr>
                <w:sz w:val="22"/>
                <w:szCs w:val="22"/>
              </w:rPr>
            </w:pPr>
            <w:r w:rsidRPr="00E345FB">
              <w:rPr>
                <w:sz w:val="22"/>
                <w:szCs w:val="22"/>
              </w:rPr>
              <w:t>81</w:t>
            </w:r>
          </w:p>
        </w:tc>
        <w:tc>
          <w:tcPr>
            <w:tcW w:w="847" w:type="pct"/>
          </w:tcPr>
          <w:p w:rsidR="00F12E60" w:rsidRPr="00E345FB" w:rsidRDefault="00F12E60" w:rsidP="00E345FB">
            <w:pPr>
              <w:suppressAutoHyphens/>
              <w:jc w:val="both"/>
              <w:rPr>
                <w:sz w:val="22"/>
                <w:szCs w:val="22"/>
              </w:rPr>
            </w:pPr>
            <w:r w:rsidRPr="00E345FB">
              <w:rPr>
                <w:sz w:val="22"/>
                <w:szCs w:val="22"/>
              </w:rPr>
              <w:t>42</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25</w:t>
            </w:r>
          </w:p>
        </w:tc>
        <w:tc>
          <w:tcPr>
            <w:tcW w:w="557" w:type="pct"/>
          </w:tcPr>
          <w:p w:rsidR="00F12E60" w:rsidRPr="00E345FB" w:rsidRDefault="00F12E60" w:rsidP="00E345FB">
            <w:pPr>
              <w:suppressAutoHyphens/>
              <w:jc w:val="both"/>
              <w:rPr>
                <w:sz w:val="22"/>
                <w:szCs w:val="22"/>
              </w:rPr>
            </w:pPr>
            <w:r w:rsidRPr="00E345FB">
              <w:rPr>
                <w:sz w:val="22"/>
                <w:szCs w:val="22"/>
              </w:rPr>
              <w:t>1</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r w:rsidRPr="00E345FB">
              <w:rPr>
                <w:sz w:val="22"/>
                <w:szCs w:val="22"/>
              </w:rPr>
              <w:t>Project-Based Learning</w:t>
            </w:r>
          </w:p>
        </w:tc>
        <w:tc>
          <w:tcPr>
            <w:tcW w:w="1283" w:type="pct"/>
          </w:tcPr>
          <w:p w:rsidR="00F12E60" w:rsidRPr="00E345FB" w:rsidRDefault="00F12E60" w:rsidP="00E345FB">
            <w:pPr>
              <w:suppressAutoHyphens/>
              <w:jc w:val="both"/>
              <w:rPr>
                <w:sz w:val="22"/>
                <w:szCs w:val="22"/>
              </w:rPr>
            </w:pPr>
            <w:r w:rsidRPr="00E345FB">
              <w:rPr>
                <w:sz w:val="22"/>
                <w:szCs w:val="22"/>
              </w:rPr>
              <w:t>77</w:t>
            </w:r>
          </w:p>
        </w:tc>
        <w:tc>
          <w:tcPr>
            <w:tcW w:w="847" w:type="pct"/>
          </w:tcPr>
          <w:p w:rsidR="00F12E60" w:rsidRPr="00E345FB" w:rsidRDefault="00F12E60" w:rsidP="00E345FB">
            <w:pPr>
              <w:suppressAutoHyphens/>
              <w:jc w:val="both"/>
              <w:rPr>
                <w:sz w:val="22"/>
                <w:szCs w:val="22"/>
              </w:rPr>
            </w:pPr>
            <w:r w:rsidRPr="00E345FB">
              <w:rPr>
                <w:sz w:val="22"/>
                <w:szCs w:val="22"/>
              </w:rPr>
              <w:t>33</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26</w:t>
            </w:r>
          </w:p>
        </w:tc>
        <w:tc>
          <w:tcPr>
            <w:tcW w:w="557" w:type="pct"/>
          </w:tcPr>
          <w:p w:rsidR="00F12E60" w:rsidRPr="00E345FB" w:rsidRDefault="00F12E60" w:rsidP="00E345FB">
            <w:pPr>
              <w:suppressAutoHyphens/>
              <w:jc w:val="both"/>
              <w:rPr>
                <w:sz w:val="22"/>
                <w:szCs w:val="22"/>
              </w:rPr>
            </w:pPr>
            <w:r w:rsidRPr="00E345FB">
              <w:rPr>
                <w:sz w:val="22"/>
                <w:szCs w:val="22"/>
              </w:rPr>
              <w:t>5</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r w:rsidRPr="00E345FB">
              <w:rPr>
                <w:sz w:val="22"/>
                <w:szCs w:val="22"/>
              </w:rPr>
              <w:t>Engineering</w:t>
            </w:r>
          </w:p>
        </w:tc>
        <w:tc>
          <w:tcPr>
            <w:tcW w:w="1283" w:type="pct"/>
          </w:tcPr>
          <w:p w:rsidR="00F12E60" w:rsidRPr="00E345FB" w:rsidRDefault="00F12E60" w:rsidP="00E345FB">
            <w:pPr>
              <w:suppressAutoHyphens/>
              <w:jc w:val="both"/>
              <w:rPr>
                <w:sz w:val="22"/>
                <w:szCs w:val="22"/>
              </w:rPr>
            </w:pPr>
            <w:r w:rsidRPr="00E345FB">
              <w:rPr>
                <w:sz w:val="22"/>
                <w:szCs w:val="22"/>
              </w:rPr>
              <w:t>73</w:t>
            </w:r>
          </w:p>
        </w:tc>
        <w:tc>
          <w:tcPr>
            <w:tcW w:w="847" w:type="pct"/>
          </w:tcPr>
          <w:p w:rsidR="00F12E60" w:rsidRPr="00E345FB" w:rsidRDefault="00F12E60" w:rsidP="00E345FB">
            <w:pPr>
              <w:suppressAutoHyphens/>
              <w:jc w:val="both"/>
              <w:rPr>
                <w:sz w:val="22"/>
                <w:szCs w:val="22"/>
              </w:rPr>
            </w:pPr>
            <w:r w:rsidRPr="00E345FB">
              <w:rPr>
                <w:sz w:val="22"/>
                <w:szCs w:val="22"/>
              </w:rPr>
              <w:t>38</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25</w:t>
            </w:r>
          </w:p>
        </w:tc>
        <w:tc>
          <w:tcPr>
            <w:tcW w:w="557" w:type="pct"/>
          </w:tcPr>
          <w:p w:rsidR="00F12E60" w:rsidRPr="00E345FB" w:rsidRDefault="00F12E60" w:rsidP="00E345FB">
            <w:pPr>
              <w:suppressAutoHyphens/>
              <w:jc w:val="both"/>
              <w:rPr>
                <w:sz w:val="22"/>
                <w:szCs w:val="22"/>
              </w:rPr>
            </w:pPr>
            <w:r w:rsidRPr="00E345FB">
              <w:rPr>
                <w:sz w:val="22"/>
                <w:szCs w:val="22"/>
              </w:rPr>
              <w:t>1</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bookmarkStart w:id="30" w:name="_Hlk99361894"/>
            <w:r w:rsidRPr="00E345FB">
              <w:rPr>
                <w:sz w:val="22"/>
                <w:szCs w:val="22"/>
              </w:rPr>
              <w:t>Production</w:t>
            </w:r>
            <w:bookmarkEnd w:id="30"/>
          </w:p>
        </w:tc>
        <w:tc>
          <w:tcPr>
            <w:tcW w:w="1283" w:type="pct"/>
          </w:tcPr>
          <w:p w:rsidR="00F12E60" w:rsidRPr="00E345FB" w:rsidRDefault="00F12E60" w:rsidP="00E345FB">
            <w:pPr>
              <w:suppressAutoHyphens/>
              <w:jc w:val="both"/>
              <w:rPr>
                <w:sz w:val="22"/>
                <w:szCs w:val="22"/>
              </w:rPr>
            </w:pPr>
            <w:r w:rsidRPr="00E345FB">
              <w:rPr>
                <w:sz w:val="22"/>
                <w:szCs w:val="22"/>
              </w:rPr>
              <w:t>69</w:t>
            </w:r>
          </w:p>
        </w:tc>
        <w:tc>
          <w:tcPr>
            <w:tcW w:w="847" w:type="pct"/>
          </w:tcPr>
          <w:p w:rsidR="00F12E60" w:rsidRPr="00E345FB" w:rsidRDefault="00F12E60" w:rsidP="00E345FB">
            <w:pPr>
              <w:suppressAutoHyphens/>
              <w:jc w:val="both"/>
              <w:rPr>
                <w:sz w:val="22"/>
                <w:szCs w:val="22"/>
              </w:rPr>
            </w:pPr>
            <w:r w:rsidRPr="00E345FB">
              <w:rPr>
                <w:sz w:val="22"/>
                <w:szCs w:val="22"/>
              </w:rPr>
              <w:t>33</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28</w:t>
            </w:r>
          </w:p>
        </w:tc>
        <w:tc>
          <w:tcPr>
            <w:tcW w:w="557" w:type="pct"/>
          </w:tcPr>
          <w:p w:rsidR="00F12E60" w:rsidRPr="00E345FB" w:rsidRDefault="00F12E60" w:rsidP="00E345FB">
            <w:pPr>
              <w:suppressAutoHyphens/>
              <w:jc w:val="both"/>
              <w:rPr>
                <w:sz w:val="22"/>
                <w:szCs w:val="22"/>
              </w:rPr>
            </w:pPr>
            <w:r w:rsidRPr="00E345FB">
              <w:rPr>
                <w:sz w:val="22"/>
                <w:szCs w:val="22"/>
              </w:rPr>
              <w:t>1</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r w:rsidRPr="00E345FB">
              <w:rPr>
                <w:sz w:val="22"/>
                <w:szCs w:val="22"/>
              </w:rPr>
              <w:t>Prototype</w:t>
            </w:r>
          </w:p>
        </w:tc>
        <w:tc>
          <w:tcPr>
            <w:tcW w:w="1283" w:type="pct"/>
          </w:tcPr>
          <w:p w:rsidR="00F12E60" w:rsidRPr="00E345FB" w:rsidRDefault="00F12E60" w:rsidP="00E345FB">
            <w:pPr>
              <w:suppressAutoHyphens/>
              <w:jc w:val="both"/>
              <w:rPr>
                <w:sz w:val="22"/>
                <w:szCs w:val="22"/>
              </w:rPr>
            </w:pPr>
            <w:r w:rsidRPr="00E345FB">
              <w:rPr>
                <w:sz w:val="22"/>
                <w:szCs w:val="22"/>
              </w:rPr>
              <w:t>67</w:t>
            </w:r>
          </w:p>
        </w:tc>
        <w:tc>
          <w:tcPr>
            <w:tcW w:w="847" w:type="pct"/>
          </w:tcPr>
          <w:p w:rsidR="00F12E60" w:rsidRPr="00E345FB" w:rsidRDefault="00F12E60" w:rsidP="00E345FB">
            <w:pPr>
              <w:suppressAutoHyphens/>
              <w:jc w:val="both"/>
              <w:rPr>
                <w:sz w:val="22"/>
                <w:szCs w:val="22"/>
              </w:rPr>
            </w:pPr>
            <w:r w:rsidRPr="00E345FB">
              <w:rPr>
                <w:sz w:val="22"/>
                <w:szCs w:val="22"/>
              </w:rPr>
              <w:t>25</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28</w:t>
            </w:r>
          </w:p>
        </w:tc>
        <w:tc>
          <w:tcPr>
            <w:tcW w:w="557" w:type="pct"/>
          </w:tcPr>
          <w:p w:rsidR="00F12E60" w:rsidRPr="00E345FB" w:rsidRDefault="00F12E60" w:rsidP="00E345FB">
            <w:pPr>
              <w:suppressAutoHyphens/>
              <w:jc w:val="both"/>
              <w:rPr>
                <w:sz w:val="22"/>
                <w:szCs w:val="22"/>
              </w:rPr>
            </w:pPr>
            <w:r w:rsidRPr="00E345FB">
              <w:rPr>
                <w:sz w:val="22"/>
                <w:szCs w:val="22"/>
              </w:rPr>
              <w:t>5</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bookmarkStart w:id="31" w:name="_Hlk99362327"/>
            <w:r w:rsidRPr="00E345FB">
              <w:rPr>
                <w:sz w:val="22"/>
                <w:szCs w:val="22"/>
              </w:rPr>
              <w:t>Collaboration</w:t>
            </w:r>
          </w:p>
        </w:tc>
        <w:tc>
          <w:tcPr>
            <w:tcW w:w="1283" w:type="pct"/>
          </w:tcPr>
          <w:p w:rsidR="00F12E60" w:rsidRPr="00E345FB" w:rsidRDefault="00F12E60" w:rsidP="00E345FB">
            <w:pPr>
              <w:suppressAutoHyphens/>
              <w:jc w:val="both"/>
              <w:rPr>
                <w:sz w:val="22"/>
                <w:szCs w:val="22"/>
              </w:rPr>
            </w:pPr>
            <w:r w:rsidRPr="00E345FB">
              <w:rPr>
                <w:sz w:val="22"/>
                <w:szCs w:val="22"/>
              </w:rPr>
              <w:t>66</w:t>
            </w:r>
          </w:p>
        </w:tc>
        <w:tc>
          <w:tcPr>
            <w:tcW w:w="847" w:type="pct"/>
          </w:tcPr>
          <w:p w:rsidR="00F12E60" w:rsidRPr="00E345FB" w:rsidRDefault="00F12E60" w:rsidP="00E345FB">
            <w:pPr>
              <w:suppressAutoHyphens/>
              <w:jc w:val="both"/>
              <w:rPr>
                <w:sz w:val="22"/>
                <w:szCs w:val="22"/>
              </w:rPr>
            </w:pPr>
            <w:r w:rsidRPr="00E345FB">
              <w:rPr>
                <w:sz w:val="22"/>
                <w:szCs w:val="22"/>
              </w:rPr>
              <w:t>35</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27</w:t>
            </w:r>
          </w:p>
        </w:tc>
        <w:tc>
          <w:tcPr>
            <w:tcW w:w="557" w:type="pct"/>
          </w:tcPr>
          <w:p w:rsidR="00F12E60" w:rsidRPr="00E345FB" w:rsidRDefault="00F12E60" w:rsidP="00E345FB">
            <w:pPr>
              <w:suppressAutoHyphens/>
              <w:jc w:val="both"/>
              <w:rPr>
                <w:sz w:val="22"/>
                <w:szCs w:val="22"/>
              </w:rPr>
            </w:pPr>
            <w:r w:rsidRPr="00E345FB">
              <w:rPr>
                <w:sz w:val="22"/>
                <w:szCs w:val="22"/>
              </w:rPr>
              <w:t>2</w:t>
            </w:r>
          </w:p>
        </w:tc>
      </w:tr>
      <w:bookmarkEnd w:id="31"/>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r w:rsidRPr="00E345FB">
              <w:rPr>
                <w:sz w:val="22"/>
                <w:szCs w:val="22"/>
              </w:rPr>
              <w:t>Digitalization</w:t>
            </w:r>
          </w:p>
        </w:tc>
        <w:tc>
          <w:tcPr>
            <w:tcW w:w="1283" w:type="pct"/>
          </w:tcPr>
          <w:p w:rsidR="00F12E60" w:rsidRPr="00E345FB" w:rsidRDefault="00F12E60" w:rsidP="00E345FB">
            <w:pPr>
              <w:suppressAutoHyphens/>
              <w:jc w:val="both"/>
              <w:rPr>
                <w:sz w:val="22"/>
                <w:szCs w:val="22"/>
              </w:rPr>
            </w:pPr>
            <w:r w:rsidRPr="00E345FB">
              <w:rPr>
                <w:sz w:val="22"/>
                <w:szCs w:val="22"/>
              </w:rPr>
              <w:t>61</w:t>
            </w:r>
          </w:p>
        </w:tc>
        <w:tc>
          <w:tcPr>
            <w:tcW w:w="847" w:type="pct"/>
          </w:tcPr>
          <w:p w:rsidR="00F12E60" w:rsidRPr="00E345FB" w:rsidRDefault="00F12E60" w:rsidP="00E345FB">
            <w:pPr>
              <w:suppressAutoHyphens/>
              <w:jc w:val="both"/>
              <w:rPr>
                <w:sz w:val="22"/>
                <w:szCs w:val="22"/>
              </w:rPr>
            </w:pPr>
            <w:r w:rsidRPr="00E345FB">
              <w:rPr>
                <w:sz w:val="22"/>
                <w:szCs w:val="22"/>
              </w:rPr>
              <w:t>28</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22</w:t>
            </w:r>
          </w:p>
        </w:tc>
        <w:tc>
          <w:tcPr>
            <w:tcW w:w="557" w:type="pct"/>
          </w:tcPr>
          <w:p w:rsidR="00F12E60" w:rsidRPr="00E345FB" w:rsidRDefault="00F12E60" w:rsidP="00E345FB">
            <w:pPr>
              <w:suppressAutoHyphens/>
              <w:jc w:val="both"/>
              <w:rPr>
                <w:sz w:val="22"/>
                <w:szCs w:val="22"/>
              </w:rPr>
            </w:pPr>
            <w:r w:rsidRPr="00E345FB">
              <w:rPr>
                <w:sz w:val="22"/>
                <w:szCs w:val="22"/>
              </w:rPr>
              <w:t>4</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bookmarkStart w:id="32" w:name="_Hlk99361916"/>
            <w:r w:rsidRPr="00E345FB">
              <w:rPr>
                <w:sz w:val="22"/>
                <w:szCs w:val="22"/>
              </w:rPr>
              <w:t>Technology</w:t>
            </w:r>
            <w:bookmarkEnd w:id="32"/>
          </w:p>
        </w:tc>
        <w:tc>
          <w:tcPr>
            <w:tcW w:w="1283" w:type="pct"/>
          </w:tcPr>
          <w:p w:rsidR="00F12E60" w:rsidRPr="00E345FB" w:rsidRDefault="00F12E60" w:rsidP="00E345FB">
            <w:pPr>
              <w:suppressAutoHyphens/>
              <w:jc w:val="both"/>
              <w:rPr>
                <w:sz w:val="22"/>
                <w:szCs w:val="22"/>
              </w:rPr>
            </w:pPr>
            <w:r w:rsidRPr="00E345FB">
              <w:rPr>
                <w:sz w:val="22"/>
                <w:szCs w:val="22"/>
              </w:rPr>
              <w:t>60</w:t>
            </w:r>
          </w:p>
        </w:tc>
        <w:tc>
          <w:tcPr>
            <w:tcW w:w="847" w:type="pct"/>
          </w:tcPr>
          <w:p w:rsidR="00F12E60" w:rsidRPr="00E345FB" w:rsidRDefault="00F12E60" w:rsidP="00E345FB">
            <w:pPr>
              <w:suppressAutoHyphens/>
              <w:jc w:val="both"/>
              <w:rPr>
                <w:sz w:val="22"/>
                <w:szCs w:val="22"/>
              </w:rPr>
            </w:pPr>
            <w:r w:rsidRPr="00E345FB">
              <w:rPr>
                <w:sz w:val="22"/>
                <w:szCs w:val="22"/>
              </w:rPr>
              <w:t>30</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24</w:t>
            </w:r>
          </w:p>
        </w:tc>
        <w:tc>
          <w:tcPr>
            <w:tcW w:w="557" w:type="pct"/>
          </w:tcPr>
          <w:p w:rsidR="00F12E60" w:rsidRPr="00E345FB" w:rsidRDefault="00F12E60" w:rsidP="00E345FB">
            <w:pPr>
              <w:suppressAutoHyphens/>
              <w:jc w:val="both"/>
              <w:rPr>
                <w:sz w:val="22"/>
                <w:szCs w:val="22"/>
              </w:rPr>
            </w:pPr>
            <w:r w:rsidRPr="00E345FB">
              <w:rPr>
                <w:sz w:val="22"/>
                <w:szCs w:val="22"/>
              </w:rPr>
              <w:t>1</w:t>
            </w:r>
          </w:p>
        </w:tc>
      </w:tr>
      <w:tr w:rsidR="00F12E60" w:rsidRPr="00E345FB" w:rsidTr="00F12E60">
        <w:trPr>
          <w:jc w:val="center"/>
        </w:trPr>
        <w:tc>
          <w:tcPr>
            <w:tcW w:w="1663" w:type="pct"/>
            <w:shd w:val="clear" w:color="auto" w:fill="auto"/>
          </w:tcPr>
          <w:p w:rsidR="00F12E60" w:rsidRPr="00E345FB" w:rsidRDefault="00F12E60" w:rsidP="00E345FB">
            <w:pPr>
              <w:suppressAutoHyphens/>
              <w:jc w:val="both"/>
              <w:rPr>
                <w:color w:val="000000"/>
                <w:sz w:val="22"/>
                <w:szCs w:val="22"/>
                <w:lang w:val="en-GB"/>
              </w:rPr>
            </w:pPr>
            <w:r w:rsidRPr="00E345FB">
              <w:rPr>
                <w:sz w:val="22"/>
                <w:szCs w:val="22"/>
              </w:rPr>
              <w:t>Entrepreneurship</w:t>
            </w:r>
          </w:p>
        </w:tc>
        <w:tc>
          <w:tcPr>
            <w:tcW w:w="1283" w:type="pct"/>
          </w:tcPr>
          <w:p w:rsidR="00F12E60" w:rsidRPr="00E345FB" w:rsidRDefault="00F12E60" w:rsidP="00E345FB">
            <w:pPr>
              <w:suppressAutoHyphens/>
              <w:jc w:val="both"/>
              <w:rPr>
                <w:sz w:val="22"/>
                <w:szCs w:val="22"/>
              </w:rPr>
            </w:pPr>
            <w:r w:rsidRPr="00E345FB">
              <w:rPr>
                <w:sz w:val="22"/>
                <w:szCs w:val="22"/>
              </w:rPr>
              <w:t>59</w:t>
            </w:r>
          </w:p>
        </w:tc>
        <w:tc>
          <w:tcPr>
            <w:tcW w:w="847" w:type="pct"/>
          </w:tcPr>
          <w:p w:rsidR="00F12E60" w:rsidRPr="00E345FB" w:rsidRDefault="00F12E60" w:rsidP="00E345FB">
            <w:pPr>
              <w:suppressAutoHyphens/>
              <w:jc w:val="both"/>
              <w:rPr>
                <w:sz w:val="22"/>
                <w:szCs w:val="22"/>
              </w:rPr>
            </w:pPr>
            <w:r w:rsidRPr="00E345FB">
              <w:rPr>
                <w:sz w:val="22"/>
                <w:szCs w:val="22"/>
              </w:rPr>
              <w:t>27</w:t>
            </w:r>
          </w:p>
        </w:tc>
        <w:tc>
          <w:tcPr>
            <w:tcW w:w="650" w:type="pct"/>
          </w:tcPr>
          <w:p w:rsidR="00F12E60" w:rsidRPr="00E345FB" w:rsidRDefault="00F12E60" w:rsidP="00E345FB">
            <w:pPr>
              <w:suppressAutoHyphens/>
              <w:jc w:val="both"/>
              <w:rPr>
                <w:color w:val="000000"/>
                <w:sz w:val="22"/>
                <w:szCs w:val="22"/>
                <w:lang w:val="en-GB"/>
              </w:rPr>
            </w:pPr>
            <w:r w:rsidRPr="00E345FB">
              <w:rPr>
                <w:sz w:val="22"/>
                <w:szCs w:val="22"/>
              </w:rPr>
              <w:t>19</w:t>
            </w:r>
          </w:p>
        </w:tc>
        <w:tc>
          <w:tcPr>
            <w:tcW w:w="557" w:type="pct"/>
          </w:tcPr>
          <w:p w:rsidR="00F12E60" w:rsidRPr="00E345FB" w:rsidRDefault="00F12E60" w:rsidP="00E345FB">
            <w:pPr>
              <w:suppressAutoHyphens/>
              <w:jc w:val="both"/>
              <w:rPr>
                <w:sz w:val="22"/>
                <w:szCs w:val="22"/>
              </w:rPr>
            </w:pPr>
            <w:r w:rsidRPr="00E345FB">
              <w:rPr>
                <w:sz w:val="22"/>
                <w:szCs w:val="22"/>
              </w:rPr>
              <w:t>4</w:t>
            </w:r>
          </w:p>
        </w:tc>
      </w:tr>
      <w:tr w:rsidR="00F12E60" w:rsidRPr="00E345FB" w:rsidTr="00F12E60">
        <w:trPr>
          <w:jc w:val="center"/>
        </w:trPr>
        <w:tc>
          <w:tcPr>
            <w:tcW w:w="1663" w:type="pct"/>
            <w:tcBorders>
              <w:bottom w:val="single" w:sz="4" w:space="0" w:color="auto"/>
            </w:tcBorders>
            <w:shd w:val="clear" w:color="auto" w:fill="auto"/>
          </w:tcPr>
          <w:p w:rsidR="00F12E60" w:rsidRPr="00E345FB" w:rsidRDefault="00F12E60" w:rsidP="00E345FB">
            <w:pPr>
              <w:suppressAutoHyphens/>
              <w:jc w:val="both"/>
              <w:rPr>
                <w:color w:val="000000"/>
                <w:sz w:val="22"/>
                <w:szCs w:val="22"/>
                <w:lang w:val="en-GB"/>
              </w:rPr>
            </w:pPr>
            <w:r w:rsidRPr="00E345FB">
              <w:rPr>
                <w:sz w:val="22"/>
                <w:szCs w:val="22"/>
              </w:rPr>
              <w:t>Empathy</w:t>
            </w:r>
          </w:p>
        </w:tc>
        <w:tc>
          <w:tcPr>
            <w:tcW w:w="1283" w:type="pct"/>
            <w:tcBorders>
              <w:bottom w:val="single" w:sz="4" w:space="0" w:color="auto"/>
            </w:tcBorders>
          </w:tcPr>
          <w:p w:rsidR="00F12E60" w:rsidRPr="00E345FB" w:rsidRDefault="00F12E60" w:rsidP="00E345FB">
            <w:pPr>
              <w:suppressAutoHyphens/>
              <w:jc w:val="both"/>
              <w:rPr>
                <w:sz w:val="22"/>
                <w:szCs w:val="22"/>
              </w:rPr>
            </w:pPr>
            <w:r w:rsidRPr="00E345FB">
              <w:rPr>
                <w:sz w:val="22"/>
                <w:szCs w:val="22"/>
              </w:rPr>
              <w:t>53</w:t>
            </w:r>
          </w:p>
        </w:tc>
        <w:tc>
          <w:tcPr>
            <w:tcW w:w="847" w:type="pct"/>
            <w:tcBorders>
              <w:bottom w:val="single" w:sz="4" w:space="0" w:color="auto"/>
            </w:tcBorders>
          </w:tcPr>
          <w:p w:rsidR="00F12E60" w:rsidRPr="00E345FB" w:rsidRDefault="00F12E60" w:rsidP="00E345FB">
            <w:pPr>
              <w:suppressAutoHyphens/>
              <w:jc w:val="both"/>
              <w:rPr>
                <w:sz w:val="22"/>
                <w:szCs w:val="22"/>
              </w:rPr>
            </w:pPr>
            <w:r w:rsidRPr="00E345FB">
              <w:rPr>
                <w:sz w:val="22"/>
                <w:szCs w:val="22"/>
              </w:rPr>
              <w:t>28</w:t>
            </w:r>
          </w:p>
        </w:tc>
        <w:tc>
          <w:tcPr>
            <w:tcW w:w="650" w:type="pct"/>
            <w:tcBorders>
              <w:bottom w:val="single" w:sz="4" w:space="0" w:color="auto"/>
            </w:tcBorders>
          </w:tcPr>
          <w:p w:rsidR="00F12E60" w:rsidRPr="00E345FB" w:rsidRDefault="00F12E60" w:rsidP="00E345FB">
            <w:pPr>
              <w:suppressAutoHyphens/>
              <w:jc w:val="both"/>
              <w:rPr>
                <w:color w:val="000000"/>
                <w:sz w:val="22"/>
                <w:szCs w:val="22"/>
                <w:lang w:val="en-GB"/>
              </w:rPr>
            </w:pPr>
            <w:r w:rsidRPr="00E345FB">
              <w:rPr>
                <w:sz w:val="22"/>
                <w:szCs w:val="22"/>
              </w:rPr>
              <w:t>22</w:t>
            </w:r>
          </w:p>
        </w:tc>
        <w:tc>
          <w:tcPr>
            <w:tcW w:w="557" w:type="pct"/>
            <w:tcBorders>
              <w:bottom w:val="single" w:sz="4" w:space="0" w:color="auto"/>
            </w:tcBorders>
          </w:tcPr>
          <w:p w:rsidR="00F12E60" w:rsidRPr="00E345FB" w:rsidRDefault="00F12E60" w:rsidP="00E345FB">
            <w:pPr>
              <w:suppressAutoHyphens/>
              <w:jc w:val="both"/>
              <w:rPr>
                <w:sz w:val="22"/>
                <w:szCs w:val="22"/>
              </w:rPr>
            </w:pPr>
            <w:r w:rsidRPr="00E345FB">
              <w:rPr>
                <w:sz w:val="22"/>
                <w:szCs w:val="22"/>
              </w:rPr>
              <w:t>4</w:t>
            </w:r>
          </w:p>
        </w:tc>
      </w:tr>
    </w:tbl>
    <w:p w:rsidR="00902524" w:rsidRPr="00E345FB" w:rsidRDefault="00902524" w:rsidP="00E345FB">
      <w:pPr>
        <w:pStyle w:val="SAP-TableHeadingSingleline"/>
        <w:suppressAutoHyphens/>
        <w:spacing w:before="0" w:after="0" w:line="240" w:lineRule="auto"/>
        <w:jc w:val="both"/>
        <w:rPr>
          <w:b/>
          <w:sz w:val="22"/>
          <w:szCs w:val="22"/>
          <w:lang w:val="en-GB"/>
        </w:rPr>
      </w:pPr>
    </w:p>
    <w:p w:rsidR="00947AD3" w:rsidRDefault="00947AD3" w:rsidP="00E345FB">
      <w:pPr>
        <w:pStyle w:val="SAP-TableHeadingSingleline"/>
        <w:suppressAutoHyphens/>
        <w:spacing w:before="0" w:after="0" w:line="240" w:lineRule="auto"/>
        <w:jc w:val="both"/>
        <w:rPr>
          <w:b/>
          <w:sz w:val="22"/>
          <w:szCs w:val="22"/>
          <w:lang w:val="en-GB"/>
        </w:rPr>
        <w:sectPr w:rsidR="00947AD3" w:rsidSect="000479B9">
          <w:type w:val="continuous"/>
          <w:pgSz w:w="11907" w:h="16840" w:code="9"/>
          <w:pgMar w:top="1440" w:right="1440" w:bottom="1440" w:left="1440" w:header="709" w:footer="709" w:gutter="0"/>
          <w:cols w:space="284"/>
          <w:titlePg/>
          <w:docGrid w:linePitch="360"/>
        </w:sectPr>
      </w:pPr>
    </w:p>
    <w:p w:rsidR="00902524" w:rsidRPr="00E345FB" w:rsidRDefault="00902524" w:rsidP="00E345FB">
      <w:pPr>
        <w:pStyle w:val="SAP-TableHeadingSingleline"/>
        <w:suppressAutoHyphens/>
        <w:spacing w:before="0" w:after="0" w:line="240" w:lineRule="auto"/>
        <w:jc w:val="both"/>
        <w:rPr>
          <w:b/>
          <w:sz w:val="22"/>
          <w:szCs w:val="22"/>
          <w:lang w:val="en-GB"/>
        </w:rPr>
      </w:pPr>
    </w:p>
    <w:p w:rsidR="00902524" w:rsidRPr="00E345FB" w:rsidRDefault="00951FC2" w:rsidP="00E345FB">
      <w:pPr>
        <w:pStyle w:val="SAP-TableHeadingSingleline"/>
        <w:suppressAutoHyphens/>
        <w:spacing w:before="0" w:after="0" w:line="240" w:lineRule="auto"/>
        <w:jc w:val="both"/>
        <w:rPr>
          <w:bCs w:val="0"/>
          <w:sz w:val="22"/>
          <w:szCs w:val="22"/>
          <w:lang w:val="en-GB"/>
        </w:rPr>
      </w:pPr>
      <w:r w:rsidRPr="00E345FB">
        <w:rPr>
          <w:bCs w:val="0"/>
          <w:sz w:val="22"/>
          <w:szCs w:val="22"/>
          <w:lang w:val="en-GB"/>
        </w:rPr>
        <w:t xml:space="preserve">As highlighted in table 8, </w:t>
      </w:r>
      <w:r w:rsidR="00497C52" w:rsidRPr="00E345FB">
        <w:rPr>
          <w:bCs w:val="0"/>
          <w:sz w:val="22"/>
          <w:szCs w:val="22"/>
          <w:lang w:val="en-GB"/>
        </w:rPr>
        <w:t>applying</w:t>
      </w:r>
      <w:r w:rsidRPr="00E345FB">
        <w:rPr>
          <w:bCs w:val="0"/>
          <w:sz w:val="22"/>
          <w:szCs w:val="22"/>
          <w:lang w:val="en-GB"/>
        </w:rPr>
        <w:t xml:space="preserve"> design thinking in such a broad framework has led </w:t>
      </w:r>
      <w:r w:rsidR="00497C52" w:rsidRPr="00E345FB">
        <w:rPr>
          <w:bCs w:val="0"/>
          <w:sz w:val="22"/>
          <w:szCs w:val="22"/>
          <w:lang w:val="en-GB"/>
        </w:rPr>
        <w:t>to</w:t>
      </w:r>
      <w:r w:rsidRPr="00E345FB">
        <w:rPr>
          <w:bCs w:val="0"/>
          <w:sz w:val="22"/>
          <w:szCs w:val="22"/>
          <w:lang w:val="en-GB"/>
        </w:rPr>
        <w:t xml:space="preserve"> outputs that </w:t>
      </w:r>
      <w:r w:rsidR="00497C52" w:rsidRPr="00E345FB">
        <w:rPr>
          <w:bCs w:val="0"/>
          <w:sz w:val="22"/>
          <w:szCs w:val="22"/>
          <w:lang w:val="en-GB"/>
        </w:rPr>
        <w:t>academics and communities have extensively recognized</w:t>
      </w:r>
      <w:r w:rsidRPr="00E345FB">
        <w:rPr>
          <w:bCs w:val="0"/>
          <w:sz w:val="22"/>
          <w:szCs w:val="22"/>
          <w:lang w:val="en-GB"/>
        </w:rPr>
        <w:t xml:space="preserve">. This scenario contributes significantly to the field. Design thinking has </w:t>
      </w:r>
      <w:r w:rsidR="00A274F2" w:rsidRPr="00E345FB">
        <w:rPr>
          <w:bCs w:val="0"/>
          <w:sz w:val="22"/>
          <w:szCs w:val="22"/>
          <w:lang w:val="en-GB"/>
        </w:rPr>
        <w:t>been used mainlyin</w:t>
      </w:r>
      <w:r w:rsidRPr="00E345FB">
        <w:rPr>
          <w:bCs w:val="0"/>
          <w:sz w:val="22"/>
          <w:szCs w:val="22"/>
          <w:lang w:val="en-GB"/>
        </w:rPr>
        <w:t xml:space="preserve"> the computer science area, with 740 total publications, based on the number of co-occurrences of author keywords. It's also </w:t>
      </w:r>
      <w:r w:rsidRPr="00E345FB">
        <w:rPr>
          <w:bCs w:val="0"/>
          <w:sz w:val="22"/>
          <w:szCs w:val="22"/>
          <w:lang w:val="en-GB"/>
        </w:rPr>
        <w:lastRenderedPageBreak/>
        <w:t>been widely used in avarietyof disciplines, including the social sciences (655 total publications), engineering (631 total publications), business management and accounting (392 total publications), mathematics (206 total publications), art and humanities(192 total publications), and economicsand finance (141 total publications).</w:t>
      </w:r>
    </w:p>
    <w:p w:rsidR="00947AD3" w:rsidRDefault="00947AD3" w:rsidP="00E345FB">
      <w:pPr>
        <w:pStyle w:val="SAP-TableHeadingSingleline"/>
        <w:suppressAutoHyphens/>
        <w:spacing w:before="0" w:after="0" w:line="240" w:lineRule="auto"/>
        <w:jc w:val="both"/>
        <w:rPr>
          <w:b/>
          <w:sz w:val="22"/>
          <w:szCs w:val="22"/>
          <w:lang w:val="en-GB"/>
        </w:rPr>
        <w:sectPr w:rsidR="00947AD3" w:rsidSect="00947AD3">
          <w:type w:val="continuous"/>
          <w:pgSz w:w="11907" w:h="16840" w:code="9"/>
          <w:pgMar w:top="1440" w:right="1440" w:bottom="1440" w:left="1440" w:header="709" w:footer="709" w:gutter="0"/>
          <w:cols w:num="2" w:space="284"/>
          <w:titlePg/>
          <w:docGrid w:linePitch="360"/>
        </w:sectPr>
      </w:pPr>
    </w:p>
    <w:p w:rsidR="00902524" w:rsidRPr="00E345FB" w:rsidRDefault="00902524" w:rsidP="00E345FB">
      <w:pPr>
        <w:pStyle w:val="SAP-TableHeadingSingleline"/>
        <w:suppressAutoHyphens/>
        <w:spacing w:before="0" w:after="0" w:line="240" w:lineRule="auto"/>
        <w:jc w:val="both"/>
        <w:rPr>
          <w:b/>
          <w:sz w:val="22"/>
          <w:szCs w:val="22"/>
          <w:lang w:val="en-GB"/>
        </w:rPr>
      </w:pPr>
    </w:p>
    <w:p w:rsidR="00902524" w:rsidRPr="00E345FB" w:rsidRDefault="00902524" w:rsidP="00E345FB">
      <w:pPr>
        <w:pStyle w:val="SAP-TableHeadingSingleline"/>
        <w:suppressAutoHyphens/>
        <w:spacing w:before="0" w:after="0" w:line="240" w:lineRule="auto"/>
        <w:jc w:val="both"/>
        <w:rPr>
          <w:b/>
          <w:sz w:val="22"/>
          <w:szCs w:val="22"/>
          <w:lang w:val="en-GB"/>
        </w:rPr>
      </w:pPr>
    </w:p>
    <w:p w:rsidR="00902524" w:rsidRPr="00E345FB" w:rsidRDefault="000A70BF" w:rsidP="00801E74">
      <w:pPr>
        <w:pStyle w:val="SAP-TableHeadingSingleline"/>
        <w:suppressAutoHyphens/>
        <w:spacing w:before="0" w:after="0" w:line="240" w:lineRule="auto"/>
        <w:rPr>
          <w:bCs w:val="0"/>
          <w:sz w:val="22"/>
          <w:szCs w:val="22"/>
          <w:lang w:val="en-GB"/>
        </w:rPr>
      </w:pPr>
      <w:r w:rsidRPr="00E345FB">
        <w:rPr>
          <w:b/>
          <w:sz w:val="22"/>
          <w:szCs w:val="22"/>
          <w:lang w:val="en-GB"/>
        </w:rPr>
        <w:t>Table 8.</w:t>
      </w:r>
      <w:r w:rsidRPr="00E345FB">
        <w:rPr>
          <w:bCs w:val="0"/>
          <w:sz w:val="22"/>
          <w:szCs w:val="22"/>
          <w:lang w:val="en-GB"/>
        </w:rPr>
        <w:t xml:space="preserve"> Subject Area</w:t>
      </w:r>
      <w:r w:rsidR="00902524" w:rsidRPr="00E345FB">
        <w:rPr>
          <w:bCs w:val="0"/>
          <w:sz w:val="22"/>
          <w:szCs w:val="22"/>
          <w:lang w:val="en-GB"/>
        </w:rPr>
        <w:t>of the design thinking research publication</w:t>
      </w:r>
      <w:r w:rsidR="007F2A95" w:rsidRPr="00E345FB">
        <w:rPr>
          <w:bCs w:val="0"/>
          <w:sz w:val="22"/>
          <w:szCs w:val="22"/>
          <w:lang w:val="en-GB"/>
        </w:rPr>
        <w:t>.</w:t>
      </w:r>
    </w:p>
    <w:tbl>
      <w:tblPr>
        <w:tblW w:w="5000" w:type="pct"/>
        <w:jc w:val="center"/>
        <w:tblBorders>
          <w:top w:val="single" w:sz="4" w:space="0" w:color="auto"/>
          <w:bottom w:val="single" w:sz="4" w:space="0" w:color="auto"/>
        </w:tblBorders>
        <w:tblLook w:val="01E0"/>
      </w:tblPr>
      <w:tblGrid>
        <w:gridCol w:w="4197"/>
        <w:gridCol w:w="2526"/>
        <w:gridCol w:w="2520"/>
      </w:tblGrid>
      <w:tr w:rsidR="000A70BF" w:rsidRPr="00E345FB" w:rsidTr="00E345FB">
        <w:trPr>
          <w:jc w:val="center"/>
        </w:trPr>
        <w:tc>
          <w:tcPr>
            <w:tcW w:w="2270" w:type="pct"/>
            <w:tcBorders>
              <w:top w:val="single" w:sz="4" w:space="0" w:color="auto"/>
              <w:bottom w:val="single" w:sz="4" w:space="0" w:color="auto"/>
            </w:tcBorders>
            <w:shd w:val="clear" w:color="auto" w:fill="auto"/>
            <w:vAlign w:val="bottom"/>
          </w:tcPr>
          <w:p w:rsidR="000A70BF" w:rsidRPr="00E345FB" w:rsidRDefault="000A70BF" w:rsidP="00E345FB">
            <w:pPr>
              <w:suppressAutoHyphens/>
              <w:jc w:val="both"/>
              <w:rPr>
                <w:b/>
                <w:color w:val="000000"/>
                <w:sz w:val="22"/>
                <w:szCs w:val="22"/>
                <w:lang w:val="en-GB" w:eastAsia="en-US"/>
              </w:rPr>
            </w:pPr>
            <w:r w:rsidRPr="00E345FB">
              <w:rPr>
                <w:b/>
                <w:bCs/>
                <w:color w:val="000000"/>
                <w:sz w:val="22"/>
                <w:szCs w:val="22"/>
                <w:lang w:val="en-GB"/>
              </w:rPr>
              <w:t>Subject Area</w:t>
            </w:r>
          </w:p>
        </w:tc>
        <w:tc>
          <w:tcPr>
            <w:tcW w:w="1366" w:type="pct"/>
            <w:tcBorders>
              <w:top w:val="single" w:sz="4" w:space="0" w:color="auto"/>
              <w:bottom w:val="single" w:sz="4" w:space="0" w:color="auto"/>
            </w:tcBorders>
            <w:shd w:val="clear" w:color="auto" w:fill="auto"/>
            <w:vAlign w:val="center"/>
          </w:tcPr>
          <w:p w:rsidR="000A70BF" w:rsidRPr="00E345FB" w:rsidRDefault="000A70BF" w:rsidP="00E345FB">
            <w:pPr>
              <w:suppressAutoHyphens/>
              <w:jc w:val="both"/>
              <w:rPr>
                <w:b/>
                <w:color w:val="000000"/>
                <w:sz w:val="22"/>
                <w:szCs w:val="22"/>
                <w:lang w:val="en-GB"/>
              </w:rPr>
            </w:pPr>
            <w:r w:rsidRPr="00E345FB">
              <w:rPr>
                <w:b/>
                <w:bCs/>
                <w:color w:val="000000"/>
                <w:sz w:val="22"/>
                <w:szCs w:val="22"/>
                <w:lang w:val="en-GB"/>
              </w:rPr>
              <w:t>Total Publications (TP)</w:t>
            </w:r>
          </w:p>
        </w:tc>
        <w:tc>
          <w:tcPr>
            <w:tcW w:w="1363" w:type="pct"/>
            <w:tcBorders>
              <w:top w:val="single" w:sz="4" w:space="0" w:color="auto"/>
              <w:bottom w:val="single" w:sz="4" w:space="0" w:color="auto"/>
            </w:tcBorders>
            <w:shd w:val="clear" w:color="auto" w:fill="auto"/>
            <w:vAlign w:val="bottom"/>
          </w:tcPr>
          <w:p w:rsidR="000A70BF" w:rsidRPr="00E345FB" w:rsidRDefault="000A70BF" w:rsidP="00E345FB">
            <w:pPr>
              <w:suppressAutoHyphens/>
              <w:jc w:val="both"/>
              <w:rPr>
                <w:b/>
                <w:color w:val="000000"/>
                <w:sz w:val="22"/>
                <w:szCs w:val="22"/>
                <w:lang w:val="en-GB"/>
              </w:rPr>
            </w:pPr>
            <w:r w:rsidRPr="00E345FB">
              <w:rPr>
                <w:b/>
                <w:bCs/>
                <w:color w:val="000000"/>
                <w:sz w:val="22"/>
                <w:szCs w:val="22"/>
                <w:lang w:val="en-GB"/>
              </w:rPr>
              <w:t>Percentage (%)</w:t>
            </w:r>
          </w:p>
        </w:tc>
      </w:tr>
      <w:tr w:rsidR="000A70BF" w:rsidRPr="00E345FB" w:rsidTr="00E345FB">
        <w:trPr>
          <w:jc w:val="center"/>
        </w:trPr>
        <w:tc>
          <w:tcPr>
            <w:tcW w:w="2270" w:type="pct"/>
            <w:shd w:val="clear" w:color="auto" w:fill="auto"/>
          </w:tcPr>
          <w:p w:rsidR="000A70BF" w:rsidRPr="00E345FB" w:rsidRDefault="000A70BF" w:rsidP="00E345FB">
            <w:pPr>
              <w:suppressAutoHyphens/>
              <w:jc w:val="both"/>
              <w:rPr>
                <w:color w:val="000000"/>
                <w:sz w:val="22"/>
                <w:szCs w:val="22"/>
                <w:lang w:val="en-GB"/>
              </w:rPr>
            </w:pPr>
            <w:bookmarkStart w:id="33" w:name="_Hlk99363230"/>
            <w:r w:rsidRPr="00E345FB">
              <w:rPr>
                <w:sz w:val="22"/>
                <w:szCs w:val="22"/>
              </w:rPr>
              <w:t>Computer Science</w:t>
            </w:r>
          </w:p>
        </w:tc>
        <w:tc>
          <w:tcPr>
            <w:tcW w:w="1366"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740</w:t>
            </w:r>
          </w:p>
        </w:tc>
        <w:tc>
          <w:tcPr>
            <w:tcW w:w="1363"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39.47%</w:t>
            </w:r>
          </w:p>
        </w:tc>
      </w:tr>
      <w:tr w:rsidR="000A70BF" w:rsidRPr="00E345FB" w:rsidTr="00E345FB">
        <w:trPr>
          <w:jc w:val="center"/>
        </w:trPr>
        <w:tc>
          <w:tcPr>
            <w:tcW w:w="2270"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Social Sciences</w:t>
            </w:r>
          </w:p>
        </w:tc>
        <w:tc>
          <w:tcPr>
            <w:tcW w:w="1366"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655</w:t>
            </w:r>
          </w:p>
        </w:tc>
        <w:tc>
          <w:tcPr>
            <w:tcW w:w="1363"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34.93%</w:t>
            </w:r>
          </w:p>
        </w:tc>
      </w:tr>
      <w:tr w:rsidR="000A70BF" w:rsidRPr="00E345FB" w:rsidTr="00E345FB">
        <w:trPr>
          <w:jc w:val="center"/>
        </w:trPr>
        <w:tc>
          <w:tcPr>
            <w:tcW w:w="2270"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Engineering</w:t>
            </w:r>
          </w:p>
        </w:tc>
        <w:tc>
          <w:tcPr>
            <w:tcW w:w="1366"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631</w:t>
            </w:r>
          </w:p>
        </w:tc>
        <w:tc>
          <w:tcPr>
            <w:tcW w:w="1363"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33.65%</w:t>
            </w:r>
          </w:p>
        </w:tc>
      </w:tr>
      <w:tr w:rsidR="000A70BF" w:rsidRPr="00E345FB" w:rsidTr="00E345FB">
        <w:trPr>
          <w:jc w:val="center"/>
        </w:trPr>
        <w:tc>
          <w:tcPr>
            <w:tcW w:w="2270"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lastRenderedPageBreak/>
              <w:t>Business, Management</w:t>
            </w:r>
            <w:r w:rsidR="00A274F2" w:rsidRPr="00E345FB">
              <w:rPr>
                <w:sz w:val="22"/>
                <w:szCs w:val="22"/>
              </w:rPr>
              <w:t>,</w:t>
            </w:r>
            <w:r w:rsidRPr="00E345FB">
              <w:rPr>
                <w:sz w:val="22"/>
                <w:szCs w:val="22"/>
              </w:rPr>
              <w:t xml:space="preserve"> and Accounting</w:t>
            </w:r>
          </w:p>
        </w:tc>
        <w:tc>
          <w:tcPr>
            <w:tcW w:w="1366"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392</w:t>
            </w:r>
          </w:p>
        </w:tc>
        <w:tc>
          <w:tcPr>
            <w:tcW w:w="1363"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20.91%</w:t>
            </w:r>
          </w:p>
        </w:tc>
      </w:tr>
      <w:tr w:rsidR="000A70BF" w:rsidRPr="00E345FB" w:rsidTr="00E345FB">
        <w:trPr>
          <w:jc w:val="center"/>
        </w:trPr>
        <w:tc>
          <w:tcPr>
            <w:tcW w:w="2270"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Mathematics</w:t>
            </w:r>
          </w:p>
        </w:tc>
        <w:tc>
          <w:tcPr>
            <w:tcW w:w="1366"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206</w:t>
            </w:r>
          </w:p>
        </w:tc>
        <w:tc>
          <w:tcPr>
            <w:tcW w:w="1363"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10.99%</w:t>
            </w:r>
          </w:p>
        </w:tc>
      </w:tr>
      <w:tr w:rsidR="000A70BF" w:rsidRPr="00E345FB" w:rsidTr="00E345FB">
        <w:trPr>
          <w:jc w:val="center"/>
        </w:trPr>
        <w:tc>
          <w:tcPr>
            <w:tcW w:w="2270"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Arts and Humanities</w:t>
            </w:r>
          </w:p>
        </w:tc>
        <w:tc>
          <w:tcPr>
            <w:tcW w:w="1366"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192</w:t>
            </w:r>
          </w:p>
        </w:tc>
        <w:tc>
          <w:tcPr>
            <w:tcW w:w="1363"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10.24%</w:t>
            </w:r>
          </w:p>
        </w:tc>
      </w:tr>
      <w:tr w:rsidR="000A70BF" w:rsidRPr="00E345FB" w:rsidTr="00E345FB">
        <w:trPr>
          <w:jc w:val="center"/>
        </w:trPr>
        <w:tc>
          <w:tcPr>
            <w:tcW w:w="2270" w:type="pct"/>
            <w:shd w:val="clear" w:color="auto" w:fill="auto"/>
          </w:tcPr>
          <w:p w:rsidR="000A70BF" w:rsidRPr="00E345FB" w:rsidRDefault="000A70BF" w:rsidP="00E345FB">
            <w:pPr>
              <w:suppressAutoHyphens/>
              <w:jc w:val="both"/>
              <w:rPr>
                <w:color w:val="000000"/>
                <w:sz w:val="22"/>
                <w:szCs w:val="22"/>
                <w:lang w:val="en-GB"/>
              </w:rPr>
            </w:pPr>
            <w:bookmarkStart w:id="34" w:name="_Hlk99364055"/>
            <w:bookmarkEnd w:id="33"/>
            <w:r w:rsidRPr="00E345FB">
              <w:rPr>
                <w:sz w:val="22"/>
                <w:szCs w:val="22"/>
              </w:rPr>
              <w:t>Economics, Econometrics</w:t>
            </w:r>
            <w:r w:rsidR="00A274F2" w:rsidRPr="00E345FB">
              <w:rPr>
                <w:sz w:val="22"/>
                <w:szCs w:val="22"/>
              </w:rPr>
              <w:t>,</w:t>
            </w:r>
            <w:r w:rsidRPr="00E345FB">
              <w:rPr>
                <w:sz w:val="22"/>
                <w:szCs w:val="22"/>
              </w:rPr>
              <w:t xml:space="preserve"> and Finance</w:t>
            </w:r>
          </w:p>
        </w:tc>
        <w:tc>
          <w:tcPr>
            <w:tcW w:w="1366"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141</w:t>
            </w:r>
          </w:p>
        </w:tc>
        <w:tc>
          <w:tcPr>
            <w:tcW w:w="1363"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7.52%</w:t>
            </w:r>
          </w:p>
        </w:tc>
      </w:tr>
      <w:bookmarkEnd w:id="34"/>
      <w:tr w:rsidR="000A70BF" w:rsidRPr="00E345FB" w:rsidTr="00E345FB">
        <w:trPr>
          <w:jc w:val="center"/>
        </w:trPr>
        <w:tc>
          <w:tcPr>
            <w:tcW w:w="2270"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Decision Sciences</w:t>
            </w:r>
          </w:p>
        </w:tc>
        <w:tc>
          <w:tcPr>
            <w:tcW w:w="1366"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96</w:t>
            </w:r>
          </w:p>
        </w:tc>
        <w:tc>
          <w:tcPr>
            <w:tcW w:w="1363"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5.12%</w:t>
            </w:r>
          </w:p>
        </w:tc>
      </w:tr>
      <w:tr w:rsidR="000A70BF" w:rsidRPr="00E345FB" w:rsidTr="00E345FB">
        <w:trPr>
          <w:jc w:val="center"/>
        </w:trPr>
        <w:tc>
          <w:tcPr>
            <w:tcW w:w="2270"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Environmental Science</w:t>
            </w:r>
          </w:p>
        </w:tc>
        <w:tc>
          <w:tcPr>
            <w:tcW w:w="1366"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84</w:t>
            </w:r>
          </w:p>
        </w:tc>
        <w:tc>
          <w:tcPr>
            <w:tcW w:w="1363"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4.48%</w:t>
            </w:r>
          </w:p>
        </w:tc>
      </w:tr>
      <w:tr w:rsidR="000A70BF" w:rsidRPr="00E345FB" w:rsidTr="00E345FB">
        <w:trPr>
          <w:jc w:val="center"/>
        </w:trPr>
        <w:tc>
          <w:tcPr>
            <w:tcW w:w="2270"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Medicine</w:t>
            </w:r>
          </w:p>
        </w:tc>
        <w:tc>
          <w:tcPr>
            <w:tcW w:w="1366"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79</w:t>
            </w:r>
          </w:p>
        </w:tc>
        <w:tc>
          <w:tcPr>
            <w:tcW w:w="1363" w:type="pct"/>
            <w:shd w:val="clear" w:color="auto" w:fill="auto"/>
          </w:tcPr>
          <w:p w:rsidR="000A70BF" w:rsidRPr="00E345FB" w:rsidRDefault="000A70BF" w:rsidP="00E345FB">
            <w:pPr>
              <w:suppressAutoHyphens/>
              <w:jc w:val="both"/>
              <w:rPr>
                <w:color w:val="000000"/>
                <w:sz w:val="22"/>
                <w:szCs w:val="22"/>
                <w:lang w:val="en-GB"/>
              </w:rPr>
            </w:pPr>
            <w:r w:rsidRPr="00E345FB">
              <w:rPr>
                <w:sz w:val="22"/>
                <w:szCs w:val="22"/>
              </w:rPr>
              <w:t>4.21%</w:t>
            </w:r>
          </w:p>
        </w:tc>
      </w:tr>
      <w:tr w:rsidR="000A70BF" w:rsidRPr="00E345FB" w:rsidTr="00E345FB">
        <w:trPr>
          <w:jc w:val="center"/>
        </w:trPr>
        <w:tc>
          <w:tcPr>
            <w:tcW w:w="2270" w:type="pct"/>
            <w:shd w:val="clear" w:color="auto" w:fill="auto"/>
          </w:tcPr>
          <w:p w:rsidR="000A70BF" w:rsidRPr="00E345FB" w:rsidRDefault="000A70BF" w:rsidP="00E345FB">
            <w:pPr>
              <w:suppressAutoHyphens/>
              <w:jc w:val="both"/>
              <w:rPr>
                <w:sz w:val="22"/>
                <w:szCs w:val="22"/>
              </w:rPr>
            </w:pPr>
          </w:p>
        </w:tc>
        <w:tc>
          <w:tcPr>
            <w:tcW w:w="1366" w:type="pct"/>
            <w:shd w:val="clear" w:color="auto" w:fill="auto"/>
          </w:tcPr>
          <w:p w:rsidR="000A70BF" w:rsidRPr="00E345FB" w:rsidRDefault="000A70BF" w:rsidP="00E345FB">
            <w:pPr>
              <w:suppressAutoHyphens/>
              <w:jc w:val="both"/>
              <w:rPr>
                <w:sz w:val="22"/>
                <w:szCs w:val="22"/>
              </w:rPr>
            </w:pPr>
          </w:p>
        </w:tc>
        <w:tc>
          <w:tcPr>
            <w:tcW w:w="1363" w:type="pct"/>
            <w:shd w:val="clear" w:color="auto" w:fill="auto"/>
          </w:tcPr>
          <w:p w:rsidR="000A70BF" w:rsidRPr="00E345FB" w:rsidRDefault="000A70BF" w:rsidP="00E345FB">
            <w:pPr>
              <w:suppressAutoHyphens/>
              <w:jc w:val="both"/>
              <w:rPr>
                <w:sz w:val="22"/>
                <w:szCs w:val="22"/>
              </w:rPr>
            </w:pPr>
          </w:p>
        </w:tc>
      </w:tr>
    </w:tbl>
    <w:p w:rsidR="006E7E3A" w:rsidRPr="00E345FB" w:rsidRDefault="006E7E3A" w:rsidP="00E345FB">
      <w:pPr>
        <w:pStyle w:val="SAP-Paragraph"/>
        <w:suppressAutoHyphens/>
        <w:spacing w:line="240" w:lineRule="auto"/>
        <w:ind w:firstLineChars="0" w:firstLine="0"/>
        <w:rPr>
          <w:sz w:val="22"/>
          <w:szCs w:val="22"/>
          <w:lang w:val="en-GB"/>
        </w:rPr>
      </w:pPr>
    </w:p>
    <w:p w:rsidR="0042671F" w:rsidRPr="00E345FB" w:rsidRDefault="0042671F" w:rsidP="00E345FB">
      <w:pPr>
        <w:pStyle w:val="SAP-Paragraph"/>
        <w:suppressAutoHyphens/>
        <w:spacing w:line="240" w:lineRule="auto"/>
        <w:ind w:firstLineChars="0" w:firstLine="0"/>
        <w:rPr>
          <w:sz w:val="22"/>
          <w:szCs w:val="22"/>
          <w:lang w:val="en-GB"/>
        </w:rPr>
      </w:pPr>
    </w:p>
    <w:p w:rsidR="00947AD3" w:rsidRDefault="00947AD3" w:rsidP="00E345FB">
      <w:pPr>
        <w:pStyle w:val="SAP-Paragraph"/>
        <w:suppressAutoHyphens/>
        <w:spacing w:line="240" w:lineRule="auto"/>
        <w:ind w:firstLineChars="0" w:firstLine="0"/>
        <w:rPr>
          <w:sz w:val="22"/>
          <w:szCs w:val="22"/>
          <w:lang w:val="en-GB"/>
        </w:rPr>
        <w:sectPr w:rsidR="00947AD3" w:rsidSect="000479B9">
          <w:type w:val="continuous"/>
          <w:pgSz w:w="11907" w:h="16840" w:code="9"/>
          <w:pgMar w:top="1440" w:right="1440" w:bottom="1440" w:left="1440" w:header="709" w:footer="709" w:gutter="0"/>
          <w:cols w:space="284"/>
          <w:titlePg/>
          <w:docGrid w:linePitch="360"/>
        </w:sectPr>
      </w:pPr>
    </w:p>
    <w:p w:rsidR="0042671F" w:rsidRPr="00E345FB" w:rsidRDefault="0042671F" w:rsidP="00E345FB">
      <w:pPr>
        <w:pStyle w:val="SAP-Paragraph"/>
        <w:suppressAutoHyphens/>
        <w:spacing w:line="240" w:lineRule="auto"/>
        <w:ind w:firstLineChars="0" w:firstLine="0"/>
        <w:rPr>
          <w:sz w:val="22"/>
          <w:szCs w:val="22"/>
          <w:lang w:val="en-GB"/>
        </w:rPr>
      </w:pPr>
      <w:r w:rsidRPr="00E345FB">
        <w:rPr>
          <w:sz w:val="22"/>
          <w:szCs w:val="22"/>
          <w:lang w:val="en-GB"/>
        </w:rPr>
        <w:lastRenderedPageBreak/>
        <w:t xml:space="preserve">Our findings, however, are not without limitations. This bibliometric study does have certain limits. First, the information presented is limited to the Scopus database, representing only a minor portion of the global production in this field. The scientific literature on design thinking is expected to be much more comprehensive. Second, the data in this study covered the period from 2000 to December 2021, and thelatest study </w:t>
      </w:r>
      <w:r w:rsidRPr="00E345FB">
        <w:rPr>
          <w:sz w:val="22"/>
          <w:szCs w:val="22"/>
          <w:lang w:val="en-GB"/>
        </w:rPr>
        <w:lastRenderedPageBreak/>
        <w:t>is published daily. Third, if the authors had not mentioned our study inclusion descriptions in the publication names, we might have missed some design thinkingpapers. Fourth, the number of citations used to evaluate the research impact may not adequately reflect the value of each study.</w:t>
      </w:r>
    </w:p>
    <w:p w:rsidR="0042671F" w:rsidRPr="00E345FB" w:rsidRDefault="0042671F" w:rsidP="00E345FB">
      <w:pPr>
        <w:pStyle w:val="SAP-Paragraph"/>
        <w:suppressAutoHyphens/>
        <w:spacing w:line="240" w:lineRule="auto"/>
        <w:ind w:firstLineChars="0" w:firstLine="0"/>
        <w:rPr>
          <w:sz w:val="22"/>
          <w:szCs w:val="22"/>
          <w:lang w:val="en-GB"/>
        </w:rPr>
      </w:pPr>
    </w:p>
    <w:p w:rsidR="0042671F" w:rsidRPr="00E345FB" w:rsidRDefault="0042671F" w:rsidP="00E345FB">
      <w:pPr>
        <w:pStyle w:val="SAP-Paragraph"/>
        <w:suppressAutoHyphens/>
        <w:spacing w:line="240" w:lineRule="auto"/>
        <w:ind w:firstLineChars="0" w:firstLine="0"/>
        <w:rPr>
          <w:sz w:val="22"/>
          <w:szCs w:val="22"/>
          <w:lang w:val="en-GB"/>
        </w:rPr>
        <w:sectPr w:rsidR="0042671F" w:rsidRPr="00E345FB" w:rsidSect="00947AD3">
          <w:type w:val="continuous"/>
          <w:pgSz w:w="11907" w:h="16840" w:code="9"/>
          <w:pgMar w:top="1440" w:right="1440" w:bottom="1440" w:left="1440" w:header="709" w:footer="709" w:gutter="0"/>
          <w:cols w:num="2" w:space="284"/>
          <w:titlePg/>
          <w:docGrid w:linePitch="360"/>
        </w:sectPr>
      </w:pPr>
    </w:p>
    <w:p w:rsidR="00F91B06" w:rsidRPr="00E345FB" w:rsidRDefault="00E96E22" w:rsidP="00801E74">
      <w:pPr>
        <w:pStyle w:val="SAP-Level1HeadingSingleline"/>
        <w:keepNext/>
        <w:numPr>
          <w:ilvl w:val="0"/>
          <w:numId w:val="7"/>
        </w:numPr>
        <w:suppressAutoHyphens/>
        <w:spacing w:before="0" w:after="0" w:line="240" w:lineRule="auto"/>
        <w:ind w:left="288" w:hanging="288"/>
        <w:rPr>
          <w:sz w:val="22"/>
          <w:szCs w:val="22"/>
          <w:lang w:val="en-GB"/>
        </w:rPr>
      </w:pPr>
      <w:r w:rsidRPr="00E345FB">
        <w:rPr>
          <w:sz w:val="22"/>
          <w:szCs w:val="22"/>
          <w:lang w:val="en-GB"/>
        </w:rPr>
        <w:lastRenderedPageBreak/>
        <w:t xml:space="preserve">CONCLUSION </w:t>
      </w:r>
    </w:p>
    <w:p w:rsidR="00856345" w:rsidRPr="00E345FB" w:rsidRDefault="00856345" w:rsidP="00E345FB">
      <w:pPr>
        <w:pStyle w:val="SAP-Level1HeadingSingleline"/>
        <w:keepNext/>
        <w:suppressAutoHyphens/>
        <w:spacing w:before="0" w:after="0" w:line="240" w:lineRule="auto"/>
        <w:rPr>
          <w:b w:val="0"/>
          <w:bCs/>
          <w:sz w:val="22"/>
          <w:szCs w:val="22"/>
          <w:lang w:val="en-GB"/>
        </w:rPr>
      </w:pPr>
      <w:r w:rsidRPr="00E345FB">
        <w:rPr>
          <w:b w:val="0"/>
          <w:bCs/>
          <w:sz w:val="22"/>
          <w:szCs w:val="22"/>
          <w:lang w:val="en-GB"/>
        </w:rPr>
        <w:t xml:space="preserve">The findings of the bibliometric analysis show that design thinking is </w:t>
      </w:r>
      <w:r w:rsidR="00A274F2" w:rsidRPr="00E345FB">
        <w:rPr>
          <w:b w:val="0"/>
          <w:bCs/>
          <w:sz w:val="22"/>
          <w:szCs w:val="22"/>
          <w:lang w:val="en-GB"/>
        </w:rPr>
        <w:t>on</w:t>
      </w:r>
      <w:r w:rsidRPr="00E345FB">
        <w:rPr>
          <w:b w:val="0"/>
          <w:bCs/>
          <w:sz w:val="22"/>
          <w:szCs w:val="22"/>
          <w:lang w:val="en-GB"/>
        </w:rPr>
        <w:t xml:space="preserve"> trendworldwide. Leading to an improvement indesign learning and enhanced best pedagogical practices. Indirectly, it will impact the exploration of how these core design approaches might be implemented </w:t>
      </w:r>
      <w:r w:rsidR="00A274F2" w:rsidRPr="00E345FB">
        <w:rPr>
          <w:b w:val="0"/>
          <w:bCs/>
          <w:sz w:val="22"/>
          <w:szCs w:val="22"/>
          <w:lang w:val="en-GB"/>
        </w:rPr>
        <w:t>in</w:t>
      </w:r>
      <w:r w:rsidRPr="00E345FB">
        <w:rPr>
          <w:b w:val="0"/>
          <w:bCs/>
          <w:sz w:val="22"/>
          <w:szCs w:val="22"/>
          <w:lang w:val="en-GB"/>
        </w:rPr>
        <w:t xml:space="preserve"> corporate problem solving and innovation. Design thinking has emerged in </w:t>
      </w:r>
      <w:r w:rsidR="00A274F2" w:rsidRPr="00E345FB">
        <w:rPr>
          <w:b w:val="0"/>
          <w:bCs/>
          <w:sz w:val="22"/>
          <w:szCs w:val="22"/>
          <w:lang w:val="en-GB"/>
        </w:rPr>
        <w:t>various</w:t>
      </w:r>
      <w:r w:rsidRPr="00E345FB">
        <w:rPr>
          <w:b w:val="0"/>
          <w:bCs/>
          <w:sz w:val="22"/>
          <w:szCs w:val="22"/>
          <w:lang w:val="en-GB"/>
        </w:rPr>
        <w:t xml:space="preserve"> disciplines worldwide, whether in formal or informal educational contexts, due to the technological boom.</w:t>
      </w:r>
    </w:p>
    <w:p w:rsidR="00C52CA0" w:rsidRPr="00E345FB" w:rsidRDefault="00C52CA0" w:rsidP="00E345FB">
      <w:pPr>
        <w:pStyle w:val="SAP-Level1HeadingSingleline"/>
        <w:keepNext/>
        <w:suppressAutoHyphens/>
        <w:spacing w:before="0" w:after="0" w:line="240" w:lineRule="auto"/>
        <w:rPr>
          <w:b w:val="0"/>
          <w:bCs/>
          <w:sz w:val="22"/>
          <w:szCs w:val="22"/>
          <w:lang w:val="en-GB"/>
        </w:rPr>
      </w:pPr>
    </w:p>
    <w:p w:rsidR="00C52CA0" w:rsidRPr="00E345FB" w:rsidRDefault="00C52CA0" w:rsidP="00E345FB">
      <w:pPr>
        <w:pStyle w:val="SAP-Level1HeadingSingleline"/>
        <w:keepNext/>
        <w:suppressAutoHyphens/>
        <w:spacing w:before="0" w:after="0" w:line="240" w:lineRule="auto"/>
        <w:rPr>
          <w:b w:val="0"/>
          <w:bCs/>
          <w:sz w:val="22"/>
          <w:szCs w:val="22"/>
          <w:lang w:val="en-GB"/>
        </w:rPr>
      </w:pPr>
      <w:r w:rsidRPr="00E345FB">
        <w:rPr>
          <w:b w:val="0"/>
          <w:bCs/>
          <w:sz w:val="22"/>
          <w:szCs w:val="22"/>
          <w:lang w:val="en-GB"/>
        </w:rPr>
        <w:t>In this perspective, the publications in design thinking were thoroughly examined for their development trends, general characteristics, collaborative networks, and current hot spots. Since the basic concept of design thinking was introduced, the discipline has expanded rapidly. Many significant research results have arisen, particularly in recent years, with an increasing rate of publications. Although design thinking received little attention from the academic community in the first decade following its debut in 1954, the findings show that the idea of design thinking started to emerge as a significant trend in 2000 and expanded in 2014 until today.</w:t>
      </w:r>
    </w:p>
    <w:p w:rsidR="00C84905" w:rsidRPr="00E345FB" w:rsidRDefault="00C84905" w:rsidP="00E345FB">
      <w:pPr>
        <w:pStyle w:val="SAP-Level1HeadingSingleline"/>
        <w:keepNext/>
        <w:suppressAutoHyphens/>
        <w:spacing w:before="0" w:after="0" w:line="240" w:lineRule="auto"/>
        <w:rPr>
          <w:b w:val="0"/>
          <w:bCs/>
          <w:sz w:val="22"/>
          <w:szCs w:val="22"/>
          <w:lang w:val="en-GB"/>
        </w:rPr>
      </w:pPr>
    </w:p>
    <w:p w:rsidR="00C84905" w:rsidRPr="00E345FB" w:rsidRDefault="00C84905" w:rsidP="00E345FB">
      <w:pPr>
        <w:pStyle w:val="SAP-Level1HeadingSingleline"/>
        <w:keepNext/>
        <w:suppressAutoHyphens/>
        <w:spacing w:before="0" w:after="0" w:line="240" w:lineRule="auto"/>
        <w:rPr>
          <w:b w:val="0"/>
          <w:bCs/>
          <w:sz w:val="22"/>
          <w:szCs w:val="22"/>
          <w:lang w:val="en-GB"/>
        </w:rPr>
      </w:pPr>
      <w:r w:rsidRPr="00E345FB">
        <w:rPr>
          <w:b w:val="0"/>
          <w:bCs/>
          <w:sz w:val="22"/>
          <w:szCs w:val="22"/>
          <w:lang w:val="en-GB"/>
        </w:rPr>
        <w:t xml:space="preserve">Design thinking research is interdisciplinary mainly, encompassing a wide range of problems researched by scholars from various fields and perspectives. Along with a growth in the number of publications every year, this analysis shows that the average number of authors per document has increased significantly. Ultimately, these </w:t>
      </w:r>
      <w:r w:rsidRPr="00E345FB">
        <w:rPr>
          <w:b w:val="0"/>
          <w:bCs/>
          <w:sz w:val="22"/>
          <w:szCs w:val="22"/>
          <w:lang w:val="en-GB"/>
        </w:rPr>
        <w:lastRenderedPageBreak/>
        <w:t>analyses can contribute to the forecast of future design thinking research and the evolution of design thinking.Furthermore, the outcomes of this study show that design thinking research is a rising trend that is still expanding and will continue to grow in the future.</w:t>
      </w:r>
    </w:p>
    <w:p w:rsidR="00C52CA0" w:rsidRPr="00E345FB" w:rsidRDefault="00C52CA0" w:rsidP="00E345FB">
      <w:pPr>
        <w:pStyle w:val="SAP-Level1HeadingSingleline"/>
        <w:keepNext/>
        <w:suppressAutoHyphens/>
        <w:spacing w:before="0" w:after="0" w:line="240" w:lineRule="auto"/>
        <w:rPr>
          <w:b w:val="0"/>
          <w:bCs/>
          <w:sz w:val="22"/>
          <w:szCs w:val="22"/>
          <w:lang w:val="en-GB"/>
        </w:rPr>
      </w:pPr>
    </w:p>
    <w:p w:rsidR="00C03C60" w:rsidRPr="00E345FB" w:rsidRDefault="00E96E22" w:rsidP="00E345FB">
      <w:pPr>
        <w:pStyle w:val="SAP-Acknowledgement"/>
        <w:keepNext/>
        <w:suppressAutoHyphens/>
        <w:spacing w:before="0" w:after="0" w:line="240" w:lineRule="auto"/>
        <w:rPr>
          <w:rFonts w:eastAsia="SimSun"/>
          <w:sz w:val="22"/>
          <w:szCs w:val="22"/>
          <w:lang w:val="en-GB"/>
        </w:rPr>
      </w:pPr>
      <w:r w:rsidRPr="00E345FB">
        <w:rPr>
          <w:caps w:val="0"/>
          <w:sz w:val="22"/>
          <w:szCs w:val="22"/>
          <w:lang w:val="en-GB"/>
        </w:rPr>
        <w:t>ACKNOWLEDGEMENT</w:t>
      </w:r>
    </w:p>
    <w:p w:rsidR="001926AC" w:rsidRPr="00E345FB" w:rsidRDefault="00A274F2" w:rsidP="00E345FB">
      <w:pPr>
        <w:suppressAutoHyphens/>
        <w:autoSpaceDE w:val="0"/>
        <w:autoSpaceDN w:val="0"/>
        <w:adjustRightInd w:val="0"/>
        <w:jc w:val="both"/>
        <w:rPr>
          <w:rFonts w:eastAsia="Times New Roman"/>
          <w:sz w:val="22"/>
          <w:szCs w:val="22"/>
          <w:lang w:val="en-GB" w:eastAsia="en-US"/>
        </w:rPr>
      </w:pPr>
      <w:r w:rsidRPr="00E345FB">
        <w:rPr>
          <w:rFonts w:eastAsia="Times New Roman"/>
          <w:sz w:val="22"/>
          <w:szCs w:val="22"/>
          <w:lang w:val="en-GB" w:eastAsia="en-US"/>
        </w:rPr>
        <w:t>The authors reported no potential conflict of interest</w:t>
      </w:r>
    </w:p>
    <w:p w:rsidR="00F921AC" w:rsidRPr="00E345FB" w:rsidRDefault="00F921AC" w:rsidP="00E345FB">
      <w:pPr>
        <w:suppressAutoHyphens/>
        <w:autoSpaceDE w:val="0"/>
        <w:autoSpaceDN w:val="0"/>
        <w:adjustRightInd w:val="0"/>
        <w:jc w:val="both"/>
        <w:rPr>
          <w:rFonts w:eastAsia="Times New Roman"/>
          <w:sz w:val="22"/>
          <w:szCs w:val="22"/>
          <w:lang w:val="en-GB" w:eastAsia="en-US"/>
        </w:rPr>
      </w:pPr>
    </w:p>
    <w:p w:rsidR="00C03C60" w:rsidRPr="00E345FB" w:rsidRDefault="00E96E22" w:rsidP="00E345FB">
      <w:pPr>
        <w:pStyle w:val="SAP-Acknowledgement"/>
        <w:keepNext/>
        <w:suppressAutoHyphens/>
        <w:spacing w:before="0" w:after="0" w:line="240" w:lineRule="auto"/>
        <w:rPr>
          <w:caps w:val="0"/>
          <w:sz w:val="22"/>
          <w:szCs w:val="22"/>
          <w:lang w:val="en-GB"/>
        </w:rPr>
      </w:pPr>
      <w:r w:rsidRPr="00E345FB">
        <w:rPr>
          <w:caps w:val="0"/>
          <w:sz w:val="22"/>
          <w:szCs w:val="22"/>
          <w:lang w:val="en-GB"/>
        </w:rPr>
        <w:t xml:space="preserve">REFERENCES </w:t>
      </w:r>
    </w:p>
    <w:p w:rsidR="000C6954" w:rsidRPr="00E345FB" w:rsidRDefault="00064DD5" w:rsidP="00801E74">
      <w:pPr>
        <w:widowControl w:val="0"/>
        <w:autoSpaceDE w:val="0"/>
        <w:autoSpaceDN w:val="0"/>
        <w:adjustRightInd w:val="0"/>
        <w:jc w:val="both"/>
        <w:rPr>
          <w:noProof/>
          <w:sz w:val="22"/>
          <w:szCs w:val="22"/>
        </w:rPr>
      </w:pPr>
      <w:r w:rsidRPr="00E345FB">
        <w:rPr>
          <w:color w:val="000000" w:themeColor="text1"/>
          <w:sz w:val="22"/>
          <w:szCs w:val="22"/>
          <w:lang w:val="en-MY"/>
        </w:rPr>
        <w:fldChar w:fldCharType="begin" w:fldLock="1"/>
      </w:r>
      <w:r w:rsidR="00FB1B96" w:rsidRPr="00E345FB">
        <w:rPr>
          <w:color w:val="000000" w:themeColor="text1"/>
          <w:sz w:val="22"/>
          <w:szCs w:val="22"/>
          <w:lang w:val="en-MY"/>
        </w:rPr>
        <w:instrText xml:space="preserve">ADDIN Mendeley Bibliography CSL_BIBLIOGRAPHY </w:instrText>
      </w:r>
      <w:r w:rsidRPr="00E345FB">
        <w:rPr>
          <w:color w:val="000000" w:themeColor="text1"/>
          <w:sz w:val="22"/>
          <w:szCs w:val="22"/>
          <w:lang w:val="en-MY"/>
        </w:rPr>
        <w:fldChar w:fldCharType="separate"/>
      </w:r>
      <w:r w:rsidR="000C6954" w:rsidRPr="00E345FB">
        <w:rPr>
          <w:noProof/>
          <w:sz w:val="22"/>
          <w:szCs w:val="22"/>
        </w:rPr>
        <w:t xml:space="preserve">Aguado, G., FernÃ¡ndez, C., Garreta-Domingo, M., Griset, R., &amp; Valls, A. (2014). Course sprints: Combining teacher training, design thinking and hackathons. In </w:t>
      </w:r>
      <w:r w:rsidR="000C6954" w:rsidRPr="00E345FB">
        <w:rPr>
          <w:i/>
          <w:iCs/>
          <w:noProof/>
          <w:sz w:val="22"/>
          <w:szCs w:val="22"/>
        </w:rPr>
        <w:t>1st International Conference on Learning and Collaboration Technologies, LCT 2014 - Held as Part of 16th International Conference on Human-Computer Interaction, HCI International 2014</w:t>
      </w:r>
      <w:r w:rsidR="000C6954" w:rsidRPr="00E345FB">
        <w:rPr>
          <w:noProof/>
          <w:sz w:val="22"/>
          <w:szCs w:val="22"/>
        </w:rPr>
        <w:t xml:space="preserve"> (Vol. 8523, pp. 3–12). Springer Verlag. https://doi.org/10.1007/978-3-319-07482-5_1</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Ahmi, A., Tapa, A., &amp; Hamzah, A. H. (2020). Mapping of Financial Technology (FinTech) Research: A Bibliometric Analysis. </w:t>
      </w:r>
      <w:r w:rsidRPr="00E345FB">
        <w:rPr>
          <w:i/>
          <w:iCs/>
          <w:noProof/>
          <w:sz w:val="22"/>
          <w:szCs w:val="22"/>
        </w:rPr>
        <w:t>International Journal of Advanced Science and Technology</w:t>
      </w:r>
      <w:r w:rsidRPr="00E345FB">
        <w:rPr>
          <w:noProof/>
          <w:sz w:val="22"/>
          <w:szCs w:val="22"/>
        </w:rPr>
        <w:t xml:space="preserve">, </w:t>
      </w:r>
      <w:r w:rsidRPr="00E345FB">
        <w:rPr>
          <w:i/>
          <w:iCs/>
          <w:noProof/>
          <w:sz w:val="22"/>
          <w:szCs w:val="22"/>
        </w:rPr>
        <w:t>29</w:t>
      </w:r>
      <w:r w:rsidRPr="00E345FB">
        <w:rPr>
          <w:noProof/>
          <w:sz w:val="22"/>
          <w:szCs w:val="22"/>
        </w:rPr>
        <w:t>(8), 379–392.</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Aldalalah, O. M. A. A. (2022). Employment the word cloud in brainstorming via the web and its effectiveness in developing the design thinking skill. </w:t>
      </w:r>
      <w:r w:rsidRPr="00E345FB">
        <w:rPr>
          <w:i/>
          <w:iCs/>
          <w:noProof/>
          <w:sz w:val="22"/>
          <w:szCs w:val="22"/>
        </w:rPr>
        <w:t>International Journal of Instruction</w:t>
      </w:r>
      <w:r w:rsidRPr="00E345FB">
        <w:rPr>
          <w:noProof/>
          <w:sz w:val="22"/>
          <w:szCs w:val="22"/>
        </w:rPr>
        <w:t xml:space="preserve">, </w:t>
      </w:r>
      <w:r w:rsidRPr="00E345FB">
        <w:rPr>
          <w:i/>
          <w:iCs/>
          <w:noProof/>
          <w:sz w:val="22"/>
          <w:szCs w:val="22"/>
        </w:rPr>
        <w:t>15</w:t>
      </w:r>
      <w:r w:rsidRPr="00E345FB">
        <w:rPr>
          <w:noProof/>
          <w:sz w:val="22"/>
          <w:szCs w:val="22"/>
        </w:rPr>
        <w:t>(1), 1045–1064. https://doi.org/10.29333/iji.2022.15159a</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Androutsos, A., &amp; Brinia, V. (2019). Developing and piloting a pedagogy for teaching innovation, </w:t>
      </w:r>
      <w:r w:rsidRPr="00E345FB">
        <w:rPr>
          <w:noProof/>
          <w:sz w:val="22"/>
          <w:szCs w:val="22"/>
        </w:rPr>
        <w:lastRenderedPageBreak/>
        <w:t xml:space="preserve">collaboration, and co-creation in secondary education based on design thinking, digital transformation, and entrepreneurship. </w:t>
      </w:r>
      <w:r w:rsidRPr="00E345FB">
        <w:rPr>
          <w:i/>
          <w:iCs/>
          <w:noProof/>
          <w:sz w:val="22"/>
          <w:szCs w:val="22"/>
        </w:rPr>
        <w:t>Education Sciences</w:t>
      </w:r>
      <w:r w:rsidRPr="00E345FB">
        <w:rPr>
          <w:noProof/>
          <w:sz w:val="22"/>
          <w:szCs w:val="22"/>
        </w:rPr>
        <w:t xml:space="preserve">, </w:t>
      </w:r>
      <w:r w:rsidRPr="00E345FB">
        <w:rPr>
          <w:i/>
          <w:iCs/>
          <w:noProof/>
          <w:sz w:val="22"/>
          <w:szCs w:val="22"/>
        </w:rPr>
        <w:t>9</w:t>
      </w:r>
      <w:r w:rsidRPr="00E345FB">
        <w:rPr>
          <w:noProof/>
          <w:sz w:val="22"/>
          <w:szCs w:val="22"/>
        </w:rPr>
        <w:t>(2). https://doi.org/10.3390/educsci9020113</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Annesley, T. M. (2010). The title says it all. </w:t>
      </w:r>
      <w:r w:rsidRPr="00E345FB">
        <w:rPr>
          <w:i/>
          <w:iCs/>
          <w:noProof/>
          <w:sz w:val="22"/>
          <w:szCs w:val="22"/>
        </w:rPr>
        <w:t>Clinical Chemistry</w:t>
      </w:r>
      <w:r w:rsidRPr="00E345FB">
        <w:rPr>
          <w:noProof/>
          <w:sz w:val="22"/>
          <w:szCs w:val="22"/>
        </w:rPr>
        <w:t xml:space="preserve">, </w:t>
      </w:r>
      <w:r w:rsidRPr="00E345FB">
        <w:rPr>
          <w:i/>
          <w:iCs/>
          <w:noProof/>
          <w:sz w:val="22"/>
          <w:szCs w:val="22"/>
        </w:rPr>
        <w:t>56</w:t>
      </w:r>
      <w:r w:rsidRPr="00E345FB">
        <w:rPr>
          <w:noProof/>
          <w:sz w:val="22"/>
          <w:szCs w:val="22"/>
        </w:rPr>
        <w:t>(3), 357–360. https://doi.org/10.1373/clinchem.2009.141523</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Balakrishnan, B., Azman, M. N. A., Sharif, A. M., Yaacob, M. I. H., Zain, H. H. M., &amp; Hock, K. E. (2021). The Effectiveness of a Design Thinking Tool for the Development of Creativity in Teaching STEM Subjects among Special Needs Education Teachers. </w:t>
      </w:r>
      <w:r w:rsidRPr="00E345FB">
        <w:rPr>
          <w:i/>
          <w:iCs/>
          <w:noProof/>
          <w:sz w:val="22"/>
          <w:szCs w:val="22"/>
        </w:rPr>
        <w:t>International Journal of Science, Mathematics and Technology Learning</w:t>
      </w:r>
      <w:r w:rsidRPr="00E345FB">
        <w:rPr>
          <w:noProof/>
          <w:sz w:val="22"/>
          <w:szCs w:val="22"/>
        </w:rPr>
        <w:t xml:space="preserve">, </w:t>
      </w:r>
      <w:r w:rsidRPr="00E345FB">
        <w:rPr>
          <w:i/>
          <w:iCs/>
          <w:noProof/>
          <w:sz w:val="22"/>
          <w:szCs w:val="22"/>
        </w:rPr>
        <w:t>28</w:t>
      </w:r>
      <w:r w:rsidRPr="00E345FB">
        <w:rPr>
          <w:noProof/>
          <w:sz w:val="22"/>
          <w:szCs w:val="22"/>
        </w:rPr>
        <w:t>(1), 15–26. https://doi.org/10.18848/2327-7971/CGP/V28I01/15-26</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Beckman, S. L., &amp; Barry, M. (2007). Innovation as a learning process: Embedding design thinking. In </w:t>
      </w:r>
      <w:r w:rsidRPr="00E345FB">
        <w:rPr>
          <w:i/>
          <w:iCs/>
          <w:noProof/>
          <w:sz w:val="22"/>
          <w:szCs w:val="22"/>
        </w:rPr>
        <w:t>California Management Review</w:t>
      </w:r>
      <w:r w:rsidRPr="00E345FB">
        <w:rPr>
          <w:noProof/>
          <w:sz w:val="22"/>
          <w:szCs w:val="22"/>
        </w:rPr>
        <w:t xml:space="preserve"> (Vol. 50, Issue 1, pp. 25–56). University of California Press. https://doi.org/10.2307/41166415</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Beligatamulla, G., Rieger, J., Franz, J., &amp; Strickfaden, M. (2019). Making Pedagogic Sense of Design Thinking in the Higher Education Context. </w:t>
      </w:r>
      <w:r w:rsidRPr="00E345FB">
        <w:rPr>
          <w:i/>
          <w:iCs/>
          <w:noProof/>
          <w:sz w:val="22"/>
          <w:szCs w:val="22"/>
        </w:rPr>
        <w:t>Open Education Studies</w:t>
      </w:r>
      <w:r w:rsidRPr="00E345FB">
        <w:rPr>
          <w:noProof/>
          <w:sz w:val="22"/>
          <w:szCs w:val="22"/>
        </w:rPr>
        <w:t xml:space="preserve">, </w:t>
      </w:r>
      <w:r w:rsidRPr="00E345FB">
        <w:rPr>
          <w:i/>
          <w:iCs/>
          <w:noProof/>
          <w:sz w:val="22"/>
          <w:szCs w:val="22"/>
        </w:rPr>
        <w:t>1</w:t>
      </w:r>
      <w:r w:rsidRPr="00E345FB">
        <w:rPr>
          <w:noProof/>
          <w:sz w:val="22"/>
          <w:szCs w:val="22"/>
        </w:rPr>
        <w:t>(1), 91–105. https://doi.org/10.1515/edu-2019-0006</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Benita, F., Virupaksha, D., Wilhelm, E., &amp; Tunçer, B. (2021). A smart learning ecosystem design for delivering Data-driven Thinking in STEM education. </w:t>
      </w:r>
      <w:r w:rsidRPr="00E345FB">
        <w:rPr>
          <w:i/>
          <w:iCs/>
          <w:noProof/>
          <w:sz w:val="22"/>
          <w:szCs w:val="22"/>
        </w:rPr>
        <w:t>Smart Learning Environments</w:t>
      </w:r>
      <w:r w:rsidRPr="00E345FB">
        <w:rPr>
          <w:noProof/>
          <w:sz w:val="22"/>
          <w:szCs w:val="22"/>
        </w:rPr>
        <w:t xml:space="preserve">, </w:t>
      </w:r>
      <w:r w:rsidRPr="00E345FB">
        <w:rPr>
          <w:i/>
          <w:iCs/>
          <w:noProof/>
          <w:sz w:val="22"/>
          <w:szCs w:val="22"/>
        </w:rPr>
        <w:t>8</w:t>
      </w:r>
      <w:r w:rsidRPr="00E345FB">
        <w:rPr>
          <w:noProof/>
          <w:sz w:val="22"/>
          <w:szCs w:val="22"/>
        </w:rPr>
        <w:t>(1). https://doi.org/10.1186/s40561-021-00153-y</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Bhandari, A. (2022). Design Thinking: from Bibliometric Analysis to Content Analysis, Current Research Trends, and Future Research Directions. In </w:t>
      </w:r>
      <w:r w:rsidRPr="00E345FB">
        <w:rPr>
          <w:i/>
          <w:iCs/>
          <w:noProof/>
          <w:sz w:val="22"/>
          <w:szCs w:val="22"/>
        </w:rPr>
        <w:t>Journal of the Knowledge Economy</w:t>
      </w:r>
      <w:r w:rsidRPr="00E345FB">
        <w:rPr>
          <w:noProof/>
          <w:sz w:val="22"/>
          <w:szCs w:val="22"/>
        </w:rPr>
        <w:t xml:space="preserve"> (Issue 0123456789). Springer US. https://doi.org/10.1007/s13132-022-00920-3</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Bharathi, S. V., &amp; Pande, M. (2019). Why design thinking in IT business management program? An exploratory study on students’ design thinking learning experience. </w:t>
      </w:r>
      <w:r w:rsidRPr="00E345FB">
        <w:rPr>
          <w:i/>
          <w:iCs/>
          <w:noProof/>
          <w:sz w:val="22"/>
          <w:szCs w:val="22"/>
        </w:rPr>
        <w:t>International Journal of Information and Communication Technology Education</w:t>
      </w:r>
      <w:r w:rsidRPr="00E345FB">
        <w:rPr>
          <w:noProof/>
          <w:sz w:val="22"/>
          <w:szCs w:val="22"/>
        </w:rPr>
        <w:t xml:space="preserve">, </w:t>
      </w:r>
      <w:r w:rsidRPr="00E345FB">
        <w:rPr>
          <w:i/>
          <w:iCs/>
          <w:noProof/>
          <w:sz w:val="22"/>
          <w:szCs w:val="22"/>
        </w:rPr>
        <w:t>15</w:t>
      </w:r>
      <w:r w:rsidRPr="00E345FB">
        <w:rPr>
          <w:noProof/>
          <w:sz w:val="22"/>
          <w:szCs w:val="22"/>
        </w:rPr>
        <w:t>(4), 76–93. https://doi.org/10.4018/IJICTE.2019100106</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Boillat, T., Tuffnell, C., Rivas, H., Aloul, F., &amp; Montana, C. (2020). Design4Health bootcamp: A design thinking approach to improve the 21stcentury skills of health, engineering and design students. In </w:t>
      </w:r>
      <w:r w:rsidRPr="00E345FB">
        <w:rPr>
          <w:i/>
          <w:iCs/>
          <w:noProof/>
          <w:sz w:val="22"/>
          <w:szCs w:val="22"/>
        </w:rPr>
        <w:t>2020 Advances in Science and Engineering Technology International Conferences, ASET 2020</w:t>
      </w:r>
      <w:r w:rsidRPr="00E345FB">
        <w:rPr>
          <w:noProof/>
          <w:sz w:val="22"/>
          <w:szCs w:val="22"/>
        </w:rPr>
        <w:t xml:space="preserve">. Institute of Electrical </w:t>
      </w:r>
      <w:r w:rsidRPr="00E345FB">
        <w:rPr>
          <w:noProof/>
          <w:sz w:val="22"/>
          <w:szCs w:val="22"/>
        </w:rPr>
        <w:lastRenderedPageBreak/>
        <w:t>and Electronics Engineers Inc. https://doi.org/10.1109/ASET48392.2020.9118202</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BostrÃ¶m, J., Hillborg, H., &amp; Lilja, J. (2021). Cultural dynamics and tensions when applying design thinking for improving health-care quality. </w:t>
      </w:r>
      <w:r w:rsidRPr="00E345FB">
        <w:rPr>
          <w:i/>
          <w:iCs/>
          <w:noProof/>
          <w:sz w:val="22"/>
          <w:szCs w:val="22"/>
        </w:rPr>
        <w:t>International Journal of Quality and Service Sciences</w:t>
      </w:r>
      <w:r w:rsidRPr="00E345FB">
        <w:rPr>
          <w:noProof/>
          <w:sz w:val="22"/>
          <w:szCs w:val="22"/>
        </w:rPr>
        <w:t xml:space="preserve">, </w:t>
      </w:r>
      <w:r w:rsidRPr="00E345FB">
        <w:rPr>
          <w:i/>
          <w:iCs/>
          <w:noProof/>
          <w:sz w:val="22"/>
          <w:szCs w:val="22"/>
        </w:rPr>
        <w:t>13</w:t>
      </w:r>
      <w:r w:rsidRPr="00E345FB">
        <w:rPr>
          <w:noProof/>
          <w:sz w:val="22"/>
          <w:szCs w:val="22"/>
        </w:rPr>
        <w:t>(1), 16–28. https://doi.org/10.1108/IJQSS-04-2019-0055</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Brown, T. (2008). Design thinking. </w:t>
      </w:r>
      <w:r w:rsidRPr="00E345FB">
        <w:rPr>
          <w:i/>
          <w:iCs/>
          <w:noProof/>
          <w:sz w:val="22"/>
          <w:szCs w:val="22"/>
        </w:rPr>
        <w:t>Harvard Business Review</w:t>
      </w:r>
      <w:r w:rsidRPr="00E345FB">
        <w:rPr>
          <w:noProof/>
          <w:sz w:val="22"/>
          <w:szCs w:val="22"/>
        </w:rPr>
        <w:t xml:space="preserve">, </w:t>
      </w:r>
      <w:r w:rsidRPr="00E345FB">
        <w:rPr>
          <w:i/>
          <w:iCs/>
          <w:noProof/>
          <w:sz w:val="22"/>
          <w:szCs w:val="22"/>
        </w:rPr>
        <w:t>86</w:t>
      </w:r>
      <w:r w:rsidRPr="00E345FB">
        <w:rPr>
          <w:noProof/>
          <w:sz w:val="22"/>
          <w:szCs w:val="22"/>
        </w:rPr>
        <w:t>(6), 84–92. https://www.scopus.com/inward/record.uri?eid=2-s2.0-46749127039&amp;partnerID=40&amp;md5=1037ea2f49975106b2f4aa365f82c124</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Brown, Tim. (2019). Business Concepts for Fundraising Change By Design : How Design Thinking Inspires Innovation Business Concepts for Fundraising. </w:t>
      </w:r>
      <w:r w:rsidRPr="00E345FB">
        <w:rPr>
          <w:i/>
          <w:iCs/>
          <w:noProof/>
          <w:sz w:val="22"/>
          <w:szCs w:val="22"/>
        </w:rPr>
        <w:t>Mwo</w:t>
      </w:r>
      <w:r w:rsidRPr="00E345FB">
        <w:rPr>
          <w:noProof/>
          <w:sz w:val="22"/>
          <w:szCs w:val="22"/>
        </w:rPr>
        <w:t>, 124.</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Buchstab, V. Von. (2005). Automotive design: Thinking outside the box. In </w:t>
      </w:r>
      <w:r w:rsidRPr="00E345FB">
        <w:rPr>
          <w:i/>
          <w:iCs/>
          <w:noProof/>
          <w:sz w:val="22"/>
          <w:szCs w:val="22"/>
        </w:rPr>
        <w:t>Design Engineering (Toronto)</w:t>
      </w:r>
      <w:r w:rsidRPr="00E345FB">
        <w:rPr>
          <w:noProof/>
          <w:sz w:val="22"/>
          <w:szCs w:val="22"/>
        </w:rPr>
        <w:t xml:space="preserve"> (Vol. 51, Issue 8, pp. 14–16). https://www.scopus.com/inward/record.uri?eid=2-s2.0-30144436120&amp;partnerID=40&amp;md5=681451afb9496db4924c2e364d1788e4</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Chen, T.-K., Chowanda, A., Udjaja, Y., &amp; Fang, H.-L. (2019). Design Thinking for Computational Creativity - A Case Study of International Exchanges Using Game and Animation (2014-Recent). In </w:t>
      </w:r>
      <w:r w:rsidRPr="00E345FB">
        <w:rPr>
          <w:i/>
          <w:iCs/>
          <w:noProof/>
          <w:sz w:val="22"/>
          <w:szCs w:val="22"/>
        </w:rPr>
        <w:t>2019 IEEE International Conference on Engineering, Technology and Education, TALE 2019</w:t>
      </w:r>
      <w:r w:rsidRPr="00E345FB">
        <w:rPr>
          <w:noProof/>
          <w:sz w:val="22"/>
          <w:szCs w:val="22"/>
        </w:rPr>
        <w:t>. Institute of Electrical and Electronics Engineers Inc. https://doi.org/10.1109/TALE48000.2019.9225911</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Chiu, T. K. F., Chai, C. S., Williams, P. J., &amp; Lin, T.-J. (2021). Teacher Professional Development on Self-Determination Theoryâ€“Based Design Thinking in STEM Education. </w:t>
      </w:r>
      <w:r w:rsidRPr="00E345FB">
        <w:rPr>
          <w:i/>
          <w:iCs/>
          <w:noProof/>
          <w:sz w:val="22"/>
          <w:szCs w:val="22"/>
        </w:rPr>
        <w:t>Educational Technology and Society</w:t>
      </w:r>
      <w:r w:rsidRPr="00E345FB">
        <w:rPr>
          <w:noProof/>
          <w:sz w:val="22"/>
          <w:szCs w:val="22"/>
        </w:rPr>
        <w:t xml:space="preserve">, </w:t>
      </w:r>
      <w:r w:rsidRPr="00E345FB">
        <w:rPr>
          <w:i/>
          <w:iCs/>
          <w:noProof/>
          <w:sz w:val="22"/>
          <w:szCs w:val="22"/>
        </w:rPr>
        <w:t>24</w:t>
      </w:r>
      <w:r w:rsidRPr="00E345FB">
        <w:rPr>
          <w:noProof/>
          <w:sz w:val="22"/>
          <w:szCs w:val="22"/>
        </w:rPr>
        <w:t>(4), 153–165. https://www.scopus.com/inward/record.uri?eid=2-s2.0-85117966884&amp;partnerID=40&amp;md5=ead582100c5a26154ccb2c92fcc40d75</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Dorst, K. (2011). The core of ‘design thinking’ and its application. </w:t>
      </w:r>
      <w:r w:rsidRPr="00E345FB">
        <w:rPr>
          <w:i/>
          <w:iCs/>
          <w:noProof/>
          <w:sz w:val="22"/>
          <w:szCs w:val="22"/>
        </w:rPr>
        <w:t>Design Studies</w:t>
      </w:r>
      <w:r w:rsidRPr="00E345FB">
        <w:rPr>
          <w:noProof/>
          <w:sz w:val="22"/>
          <w:szCs w:val="22"/>
        </w:rPr>
        <w:t xml:space="preserve">, </w:t>
      </w:r>
      <w:r w:rsidRPr="00E345FB">
        <w:rPr>
          <w:i/>
          <w:iCs/>
          <w:noProof/>
          <w:sz w:val="22"/>
          <w:szCs w:val="22"/>
        </w:rPr>
        <w:t>32</w:t>
      </w:r>
      <w:r w:rsidRPr="00E345FB">
        <w:rPr>
          <w:noProof/>
          <w:sz w:val="22"/>
          <w:szCs w:val="22"/>
        </w:rPr>
        <w:t>(6), 521–532. https://doi.org/10.1016/j.destud.2011.07.006</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Dunne, D., &amp; Martin, R. (2006). Design thinking and how it will change management education: An interview and discussion. In </w:t>
      </w:r>
      <w:r w:rsidRPr="00E345FB">
        <w:rPr>
          <w:i/>
          <w:iCs/>
          <w:noProof/>
          <w:sz w:val="22"/>
          <w:szCs w:val="22"/>
        </w:rPr>
        <w:t>Academy of Management Learning and Education</w:t>
      </w:r>
      <w:r w:rsidRPr="00E345FB">
        <w:rPr>
          <w:noProof/>
          <w:sz w:val="22"/>
          <w:szCs w:val="22"/>
        </w:rPr>
        <w:t xml:space="preserve"> (Vol. 5, Issue 4, pp. 512–523). George Washington University. </w:t>
      </w:r>
      <w:r w:rsidRPr="00E345FB">
        <w:rPr>
          <w:noProof/>
          <w:sz w:val="22"/>
          <w:szCs w:val="22"/>
        </w:rPr>
        <w:lastRenderedPageBreak/>
        <w:t>https://doi.org/10.5465/AMLE.2006.23473212</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Fisher, W. P., Oon, E. P.-T., &amp; Benson, S. (2018). Applying Design Thinking to systemic problems in educational assessment information management. In </w:t>
      </w:r>
      <w:r w:rsidRPr="00E345FB">
        <w:rPr>
          <w:i/>
          <w:iCs/>
          <w:noProof/>
          <w:sz w:val="22"/>
          <w:szCs w:val="22"/>
        </w:rPr>
        <w:t>2017 Joint IMEKO TC1-TC7-TC13 Symposium: Measurement Science Challenges in Natural and Social Sciences</w:t>
      </w:r>
      <w:r w:rsidRPr="00E345FB">
        <w:rPr>
          <w:noProof/>
          <w:sz w:val="22"/>
          <w:szCs w:val="22"/>
        </w:rPr>
        <w:t xml:space="preserve"> (Vol. 1044, Issue 1). Institute of Physics Publishing. https://doi.org/10.1088/1742-6596/1044/1/012012</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Gleason, B., &amp; Cherrez, N. J. (2021). Design Thinking Approach to Global Collaboration and Empowered Learning: Virtual Exchange as Innovation in a Teacher Education Course. </w:t>
      </w:r>
      <w:r w:rsidRPr="00E345FB">
        <w:rPr>
          <w:i/>
          <w:iCs/>
          <w:noProof/>
          <w:sz w:val="22"/>
          <w:szCs w:val="22"/>
        </w:rPr>
        <w:t>TechTrends</w:t>
      </w:r>
      <w:r w:rsidRPr="00E345FB">
        <w:rPr>
          <w:noProof/>
          <w:sz w:val="22"/>
          <w:szCs w:val="22"/>
        </w:rPr>
        <w:t xml:space="preserve">, </w:t>
      </w:r>
      <w:r w:rsidRPr="00E345FB">
        <w:rPr>
          <w:i/>
          <w:iCs/>
          <w:noProof/>
          <w:sz w:val="22"/>
          <w:szCs w:val="22"/>
        </w:rPr>
        <w:t>65</w:t>
      </w:r>
      <w:r w:rsidRPr="00E345FB">
        <w:rPr>
          <w:noProof/>
          <w:sz w:val="22"/>
          <w:szCs w:val="22"/>
        </w:rPr>
        <w:t>(3), 348–358. https://doi.org/10.1007/s11528-020-00573-6</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Goi, H. C., &amp; Tan, W.-L. (2021). Design Thinking as a Means of Citizen Science for Social Innovation. </w:t>
      </w:r>
      <w:r w:rsidRPr="00E345FB">
        <w:rPr>
          <w:i/>
          <w:iCs/>
          <w:noProof/>
          <w:sz w:val="22"/>
          <w:szCs w:val="22"/>
        </w:rPr>
        <w:t>Frontiers in Sociology</w:t>
      </w:r>
      <w:r w:rsidRPr="00E345FB">
        <w:rPr>
          <w:noProof/>
          <w:sz w:val="22"/>
          <w:szCs w:val="22"/>
        </w:rPr>
        <w:t xml:space="preserve">, </w:t>
      </w:r>
      <w:r w:rsidRPr="00E345FB">
        <w:rPr>
          <w:i/>
          <w:iCs/>
          <w:noProof/>
          <w:sz w:val="22"/>
          <w:szCs w:val="22"/>
        </w:rPr>
        <w:t>6</w:t>
      </w:r>
      <w:r w:rsidRPr="00E345FB">
        <w:rPr>
          <w:noProof/>
          <w:sz w:val="22"/>
          <w:szCs w:val="22"/>
        </w:rPr>
        <w:t>. https://doi.org/10.3389/fsoc.2021.629808</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Guaman-Quintanilla, S., Everaert, P., Chiluiza, K., &amp; Valcke, M. (2022). Impact of design thinking in higher education: a multi-actor perspective on problem solving and creativity. </w:t>
      </w:r>
      <w:r w:rsidRPr="00E345FB">
        <w:rPr>
          <w:i/>
          <w:iCs/>
          <w:noProof/>
          <w:sz w:val="22"/>
          <w:szCs w:val="22"/>
        </w:rPr>
        <w:t>International Journal of Technology and Design Education</w:t>
      </w:r>
      <w:r w:rsidRPr="00E345FB">
        <w:rPr>
          <w:noProof/>
          <w:sz w:val="22"/>
          <w:szCs w:val="22"/>
        </w:rPr>
        <w:t xml:space="preserve">, </w:t>
      </w:r>
      <w:r w:rsidRPr="00E345FB">
        <w:rPr>
          <w:i/>
          <w:iCs/>
          <w:noProof/>
          <w:sz w:val="22"/>
          <w:szCs w:val="22"/>
        </w:rPr>
        <w:t>0123456789</w:t>
      </w:r>
      <w:r w:rsidRPr="00E345FB">
        <w:rPr>
          <w:noProof/>
          <w:sz w:val="22"/>
          <w:szCs w:val="22"/>
        </w:rPr>
        <w:t>. https://doi.org/10.1007/s10798-021-09724-z</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Harun, A. F., Ismail, J., Shiang, H. Y., Noor, N. L. M., Baharin, H., &amp; Suliman, S. I. (2019). An exploratory study in conceptualizing user view on digital taste using design thinking. </w:t>
      </w:r>
      <w:r w:rsidRPr="00E345FB">
        <w:rPr>
          <w:i/>
          <w:iCs/>
          <w:noProof/>
          <w:sz w:val="22"/>
          <w:szCs w:val="22"/>
        </w:rPr>
        <w:t>Indonesian Journal of Electrical Engineering and Computer Science</w:t>
      </w:r>
      <w:r w:rsidRPr="00E345FB">
        <w:rPr>
          <w:noProof/>
          <w:sz w:val="22"/>
          <w:szCs w:val="22"/>
        </w:rPr>
        <w:t xml:space="preserve">, </w:t>
      </w:r>
      <w:r w:rsidRPr="00E345FB">
        <w:rPr>
          <w:i/>
          <w:iCs/>
          <w:noProof/>
          <w:sz w:val="22"/>
          <w:szCs w:val="22"/>
        </w:rPr>
        <w:t>17</w:t>
      </w:r>
      <w:r w:rsidRPr="00E345FB">
        <w:rPr>
          <w:noProof/>
          <w:sz w:val="22"/>
          <w:szCs w:val="22"/>
        </w:rPr>
        <w:t>(1), 379–388. https://doi.org/10.11591/ijeecs.v17.i1.pp379-388</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He, J., &amp; Ortiz, J. (2021). Sustainable business modeling: The need for innovative design thinking. </w:t>
      </w:r>
      <w:r w:rsidRPr="00E345FB">
        <w:rPr>
          <w:i/>
          <w:iCs/>
          <w:noProof/>
          <w:sz w:val="22"/>
          <w:szCs w:val="22"/>
        </w:rPr>
        <w:t>Journal of Cleaner Production</w:t>
      </w:r>
      <w:r w:rsidRPr="00E345FB">
        <w:rPr>
          <w:noProof/>
          <w:sz w:val="22"/>
          <w:szCs w:val="22"/>
        </w:rPr>
        <w:t xml:space="preserve">, </w:t>
      </w:r>
      <w:r w:rsidRPr="00E345FB">
        <w:rPr>
          <w:i/>
          <w:iCs/>
          <w:noProof/>
          <w:sz w:val="22"/>
          <w:szCs w:val="22"/>
        </w:rPr>
        <w:t>298</w:t>
      </w:r>
      <w:r w:rsidRPr="00E345FB">
        <w:rPr>
          <w:noProof/>
          <w:sz w:val="22"/>
          <w:szCs w:val="22"/>
        </w:rPr>
        <w:t>. https://doi.org/10.1016/j.jclepro.2021.126751</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Henriksen, D., Richardson, C., &amp; Mehta, R. (2017). Design thinking: A creative approach to educational problems of practice. </w:t>
      </w:r>
      <w:r w:rsidRPr="00E345FB">
        <w:rPr>
          <w:i/>
          <w:iCs/>
          <w:noProof/>
          <w:sz w:val="22"/>
          <w:szCs w:val="22"/>
        </w:rPr>
        <w:t>Thinking Skills and Creativity</w:t>
      </w:r>
      <w:r w:rsidRPr="00E345FB">
        <w:rPr>
          <w:noProof/>
          <w:sz w:val="22"/>
          <w:szCs w:val="22"/>
        </w:rPr>
        <w:t xml:space="preserve">, </w:t>
      </w:r>
      <w:r w:rsidRPr="00E345FB">
        <w:rPr>
          <w:i/>
          <w:iCs/>
          <w:noProof/>
          <w:sz w:val="22"/>
          <w:szCs w:val="22"/>
        </w:rPr>
        <w:t>26</w:t>
      </w:r>
      <w:r w:rsidRPr="00E345FB">
        <w:rPr>
          <w:noProof/>
          <w:sz w:val="22"/>
          <w:szCs w:val="22"/>
        </w:rPr>
        <w:t>, 140–153. https://doi.org/10.1016/j.tsc.2017.10.001</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Johann, D. A., Nunes, A. de F. P., Santos, G. B. dos, Silva, D. J. C. da, Bresciani, S. A. T., &amp; Lopes, L. F. D. (2020). Mapping of scientific production on design thinking as a tool for entrepreneurship education: a bibliometric study of a decade. </w:t>
      </w:r>
      <w:r w:rsidRPr="00E345FB">
        <w:rPr>
          <w:i/>
          <w:iCs/>
          <w:noProof/>
          <w:sz w:val="22"/>
          <w:szCs w:val="22"/>
        </w:rPr>
        <w:t>World Journal of Entrepreneurship, Management and Sustainable Development</w:t>
      </w:r>
      <w:r w:rsidRPr="00E345FB">
        <w:rPr>
          <w:noProof/>
          <w:sz w:val="22"/>
          <w:szCs w:val="22"/>
        </w:rPr>
        <w:t xml:space="preserve">, </w:t>
      </w:r>
      <w:r w:rsidRPr="00E345FB">
        <w:rPr>
          <w:i/>
          <w:iCs/>
          <w:noProof/>
          <w:sz w:val="22"/>
          <w:szCs w:val="22"/>
        </w:rPr>
        <w:t>16</w:t>
      </w:r>
      <w:r w:rsidRPr="00E345FB">
        <w:rPr>
          <w:noProof/>
          <w:sz w:val="22"/>
          <w:szCs w:val="22"/>
        </w:rPr>
        <w:t>(4), 271–285. https://doi.org/10.1108/WJEMSD-05-2019-0028</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Johansson-SkÃ¶ldberg, U., Woodilla, J., &amp; Ã‡etinkaya, M. (2013). Design thinking: Past, </w:t>
      </w:r>
      <w:r w:rsidRPr="00E345FB">
        <w:rPr>
          <w:noProof/>
          <w:sz w:val="22"/>
          <w:szCs w:val="22"/>
        </w:rPr>
        <w:lastRenderedPageBreak/>
        <w:t xml:space="preserve">present and possible futures. </w:t>
      </w:r>
      <w:r w:rsidRPr="00E345FB">
        <w:rPr>
          <w:i/>
          <w:iCs/>
          <w:noProof/>
          <w:sz w:val="22"/>
          <w:szCs w:val="22"/>
        </w:rPr>
        <w:t>Creativity and Innovation Management</w:t>
      </w:r>
      <w:r w:rsidRPr="00E345FB">
        <w:rPr>
          <w:noProof/>
          <w:sz w:val="22"/>
          <w:szCs w:val="22"/>
        </w:rPr>
        <w:t xml:space="preserve">, </w:t>
      </w:r>
      <w:r w:rsidRPr="00E345FB">
        <w:rPr>
          <w:i/>
          <w:iCs/>
          <w:noProof/>
          <w:sz w:val="22"/>
          <w:szCs w:val="22"/>
        </w:rPr>
        <w:t>22</w:t>
      </w:r>
      <w:r w:rsidRPr="00E345FB">
        <w:rPr>
          <w:noProof/>
          <w:sz w:val="22"/>
          <w:szCs w:val="22"/>
        </w:rPr>
        <w:t>(2), 121–146. https://doi.org/10.1111/caim.12023</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Johansson-Sköldberg, U., Woodilla, J., &amp; Çetinkaya, M. (2013). Design thinking: Past, present and possible futures. </w:t>
      </w:r>
      <w:r w:rsidRPr="00E345FB">
        <w:rPr>
          <w:i/>
          <w:iCs/>
          <w:noProof/>
          <w:sz w:val="22"/>
          <w:szCs w:val="22"/>
        </w:rPr>
        <w:t>Creativity and Innovation Management</w:t>
      </w:r>
      <w:r w:rsidRPr="00E345FB">
        <w:rPr>
          <w:noProof/>
          <w:sz w:val="22"/>
          <w:szCs w:val="22"/>
        </w:rPr>
        <w:t xml:space="preserve">, </w:t>
      </w:r>
      <w:r w:rsidRPr="00E345FB">
        <w:rPr>
          <w:i/>
          <w:iCs/>
          <w:noProof/>
          <w:sz w:val="22"/>
          <w:szCs w:val="22"/>
        </w:rPr>
        <w:t>22</w:t>
      </w:r>
      <w:r w:rsidRPr="00E345FB">
        <w:rPr>
          <w:noProof/>
          <w:sz w:val="22"/>
          <w:szCs w:val="22"/>
        </w:rPr>
        <w:t>(2), 121–146. https://doi.org/10.1111/caim.12023</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Kaivo-Oja, J. (2014). New service design thinking in the ubiquitous media: New ideas for journalism that help and serve people. </w:t>
      </w:r>
      <w:r w:rsidRPr="00E345FB">
        <w:rPr>
          <w:i/>
          <w:iCs/>
          <w:noProof/>
          <w:sz w:val="22"/>
          <w:szCs w:val="22"/>
        </w:rPr>
        <w:t>Touchpoint</w:t>
      </w:r>
      <w:r w:rsidRPr="00E345FB">
        <w:rPr>
          <w:noProof/>
          <w:sz w:val="22"/>
          <w:szCs w:val="22"/>
        </w:rPr>
        <w:t xml:space="preserve">, </w:t>
      </w:r>
      <w:r w:rsidRPr="00E345FB">
        <w:rPr>
          <w:i/>
          <w:iCs/>
          <w:noProof/>
          <w:sz w:val="22"/>
          <w:szCs w:val="22"/>
        </w:rPr>
        <w:t>5</w:t>
      </w:r>
      <w:r w:rsidRPr="00E345FB">
        <w:rPr>
          <w:noProof/>
          <w:sz w:val="22"/>
          <w:szCs w:val="22"/>
        </w:rPr>
        <w:t>(3), 34–39. https://www.scopus.com/inward/record.uri?eid=2-s2.0-84894467540&amp;partnerID=40&amp;md5=c27ff3a964bcd23ac0410b88a1a51ef6</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Liu, Z. (2020). The Construction of Environmental Art Design Thinking Based on Hand Drawing and Computer Drawing. In </w:t>
      </w:r>
      <w:r w:rsidRPr="00E345FB">
        <w:rPr>
          <w:i/>
          <w:iCs/>
          <w:noProof/>
          <w:sz w:val="22"/>
          <w:szCs w:val="22"/>
        </w:rPr>
        <w:t>1st International Conference on Computer Applied Science and Information Technology, ICCASIT 2020</w:t>
      </w:r>
      <w:r w:rsidRPr="00E345FB">
        <w:rPr>
          <w:noProof/>
          <w:sz w:val="22"/>
          <w:szCs w:val="22"/>
        </w:rPr>
        <w:t xml:space="preserve"> (Vol. 1574, Issue 1). Institute of Physics Publishing. https://doi.org/10.1088/1742-6596/1574/1/012114</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Lorusso, L., Lee, J. H., &amp; Worden, E. A. (2021). Design Thinking for Healthcare: Transliterating the Creative Problem-Solving Method Into Architectural Practice. </w:t>
      </w:r>
      <w:r w:rsidRPr="00E345FB">
        <w:rPr>
          <w:i/>
          <w:iCs/>
          <w:noProof/>
          <w:sz w:val="22"/>
          <w:szCs w:val="22"/>
        </w:rPr>
        <w:t>Health Environments Research and Design Journal</w:t>
      </w:r>
      <w:r w:rsidRPr="00E345FB">
        <w:rPr>
          <w:noProof/>
          <w:sz w:val="22"/>
          <w:szCs w:val="22"/>
        </w:rPr>
        <w:t xml:space="preserve">, </w:t>
      </w:r>
      <w:r w:rsidRPr="00E345FB">
        <w:rPr>
          <w:i/>
          <w:iCs/>
          <w:noProof/>
          <w:sz w:val="22"/>
          <w:szCs w:val="22"/>
        </w:rPr>
        <w:t>14</w:t>
      </w:r>
      <w:r w:rsidRPr="00E345FB">
        <w:rPr>
          <w:noProof/>
          <w:sz w:val="22"/>
          <w:szCs w:val="22"/>
        </w:rPr>
        <w:t>(2), 16–29. https://doi.org/10.1177/1937586721994228</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Loyola, C. C., Grimberg, C. A., &amp; Colomer, Ã. B. (2020). Early childhood teachers making multiliterate learning environments: The emergence of a spatial design thinking process. </w:t>
      </w:r>
      <w:r w:rsidRPr="00E345FB">
        <w:rPr>
          <w:i/>
          <w:iCs/>
          <w:noProof/>
          <w:sz w:val="22"/>
          <w:szCs w:val="22"/>
        </w:rPr>
        <w:t>Thinking Skills and Creativity</w:t>
      </w:r>
      <w:r w:rsidRPr="00E345FB">
        <w:rPr>
          <w:noProof/>
          <w:sz w:val="22"/>
          <w:szCs w:val="22"/>
        </w:rPr>
        <w:t xml:space="preserve">, </w:t>
      </w:r>
      <w:r w:rsidRPr="00E345FB">
        <w:rPr>
          <w:i/>
          <w:iCs/>
          <w:noProof/>
          <w:sz w:val="22"/>
          <w:szCs w:val="22"/>
        </w:rPr>
        <w:t>36</w:t>
      </w:r>
      <w:r w:rsidRPr="00E345FB">
        <w:rPr>
          <w:noProof/>
          <w:sz w:val="22"/>
          <w:szCs w:val="22"/>
        </w:rPr>
        <w:t>. https://doi.org/10.1016/j.tsc.2020.100655</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Lyche, W., Berg, A., &amp; Andreassen, K. (2018). Parametric design thinking about digital and material surface patterns. In </w:t>
      </w:r>
      <w:r w:rsidRPr="00E345FB">
        <w:rPr>
          <w:i/>
          <w:iCs/>
          <w:noProof/>
          <w:sz w:val="22"/>
          <w:szCs w:val="22"/>
        </w:rPr>
        <w:t>20th International Conference on Engineering and Product Design Education, E and PDE 2018</w:t>
      </w:r>
      <w:r w:rsidRPr="00E345FB">
        <w:rPr>
          <w:noProof/>
          <w:sz w:val="22"/>
          <w:szCs w:val="22"/>
        </w:rPr>
        <w:t>. Institution of Engineering Designers, The Design Society. https://www.scopus.com/inward/record.uri?eid=2-s2.0-85057770011&amp;partnerID=40&amp;md5=66951f34d5eeee5868561eae74a7ce0b</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Meinel, C., &amp; Leifer, L. (2012). Design thinking research. In </w:t>
      </w:r>
      <w:r w:rsidRPr="00E345FB">
        <w:rPr>
          <w:i/>
          <w:iCs/>
          <w:noProof/>
          <w:sz w:val="22"/>
          <w:szCs w:val="22"/>
        </w:rPr>
        <w:t>Design Thinking Research: Measuring Performance in Context</w:t>
      </w:r>
      <w:r w:rsidRPr="00E345FB">
        <w:rPr>
          <w:noProof/>
          <w:sz w:val="22"/>
          <w:szCs w:val="22"/>
        </w:rPr>
        <w:t xml:space="preserve"> (pp. 1–10). Springer Berlin Heidelberg. https://doi.org/10.1007/978-3-642-31991-4_1</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Menezes, J. H. D. O. (2019). From tinkering methods to design thinking: Primordial thoughts in design research. In </w:t>
      </w:r>
      <w:r w:rsidRPr="00E345FB">
        <w:rPr>
          <w:i/>
          <w:iCs/>
          <w:noProof/>
          <w:sz w:val="22"/>
          <w:szCs w:val="22"/>
        </w:rPr>
        <w:t xml:space="preserve">22nd International </w:t>
      </w:r>
      <w:r w:rsidRPr="00E345FB">
        <w:rPr>
          <w:i/>
          <w:iCs/>
          <w:noProof/>
          <w:sz w:val="22"/>
          <w:szCs w:val="22"/>
        </w:rPr>
        <w:lastRenderedPageBreak/>
        <w:t>Conference on Engineering Design, ICED 2019</w:t>
      </w:r>
      <w:r w:rsidRPr="00E345FB">
        <w:rPr>
          <w:noProof/>
          <w:sz w:val="22"/>
          <w:szCs w:val="22"/>
        </w:rPr>
        <w:t xml:space="preserve"> (Vol. 2019, pp. 3911–3917). Cambridge University Press. https://doi.org/10.1017/dsi.2019.398</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Mongeon, P., &amp; Paul-Hus, A. (2016). The journal coverage of Web of Science and Scopus: a comparative analysis. </w:t>
      </w:r>
      <w:r w:rsidRPr="00E345FB">
        <w:rPr>
          <w:i/>
          <w:iCs/>
          <w:noProof/>
          <w:sz w:val="22"/>
          <w:szCs w:val="22"/>
        </w:rPr>
        <w:t>Scientometrics</w:t>
      </w:r>
      <w:r w:rsidRPr="00E345FB">
        <w:rPr>
          <w:noProof/>
          <w:sz w:val="22"/>
          <w:szCs w:val="22"/>
        </w:rPr>
        <w:t xml:space="preserve">, </w:t>
      </w:r>
      <w:r w:rsidRPr="00E345FB">
        <w:rPr>
          <w:i/>
          <w:iCs/>
          <w:noProof/>
          <w:sz w:val="22"/>
          <w:szCs w:val="22"/>
        </w:rPr>
        <w:t>106</w:t>
      </w:r>
      <w:r w:rsidRPr="00E345FB">
        <w:rPr>
          <w:noProof/>
          <w:sz w:val="22"/>
          <w:szCs w:val="22"/>
        </w:rPr>
        <w:t>(1), 213–228. https://doi.org/10.1007/s11192-015-1765-5</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O’Callaghan, G., &amp; Connolly, C. (2020). Developing creativity in computer science initial teacher education through design thinking. In </w:t>
      </w:r>
      <w:r w:rsidRPr="00E345FB">
        <w:rPr>
          <w:i/>
          <w:iCs/>
          <w:noProof/>
          <w:sz w:val="22"/>
          <w:szCs w:val="22"/>
        </w:rPr>
        <w:t>2020 Conference on United Kingdom and Ireland Computing Education Research, UKICER 2020</w:t>
      </w:r>
      <w:r w:rsidRPr="00E345FB">
        <w:rPr>
          <w:noProof/>
          <w:sz w:val="22"/>
          <w:szCs w:val="22"/>
        </w:rPr>
        <w:t xml:space="preserve"> (pp. 45–50). Association for Computing Machinery. https://doi.org/10.1145/3416465.3416469</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OCDE. (2018). The Future of Education and Skills: Education 2030. </w:t>
      </w:r>
      <w:r w:rsidRPr="00E345FB">
        <w:rPr>
          <w:i/>
          <w:iCs/>
          <w:noProof/>
          <w:sz w:val="22"/>
          <w:szCs w:val="22"/>
        </w:rPr>
        <w:t>OECD Education Working Papers</w:t>
      </w:r>
      <w:r w:rsidRPr="00E345FB">
        <w:rPr>
          <w:noProof/>
          <w:sz w:val="22"/>
          <w:szCs w:val="22"/>
        </w:rPr>
        <w:t>, 23. http://www.oecd.org/education/2030/E2030 Position Paper (05.04.2018).pdf</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Palacin-Silva, M., Khakurel, J., Happonen, A., Hynninen, T., &amp; Porras, J. (2017). Infusing Design Thinking into a Software Engineering Capstone Course. In </w:t>
      </w:r>
      <w:r w:rsidRPr="00E345FB">
        <w:rPr>
          <w:i/>
          <w:iCs/>
          <w:noProof/>
          <w:sz w:val="22"/>
          <w:szCs w:val="22"/>
        </w:rPr>
        <w:t>30th IEEE Conference on Software Engineering Education and Training, CSEE and T 2017</w:t>
      </w:r>
      <w:r w:rsidRPr="00E345FB">
        <w:rPr>
          <w:noProof/>
          <w:sz w:val="22"/>
          <w:szCs w:val="22"/>
        </w:rPr>
        <w:t xml:space="preserve"> (Vol. 2017, pp. 212–221). Institute of Electrical and Electronics Engineers Inc. https://doi.org/10.1109/CSEET.2017.41</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Parmar, A. J. (2015). Bridging gaps in engineering education: Design thinking a critical factor for project based learning. In </w:t>
      </w:r>
      <w:r w:rsidRPr="00E345FB">
        <w:rPr>
          <w:i/>
          <w:iCs/>
          <w:noProof/>
          <w:sz w:val="22"/>
          <w:szCs w:val="22"/>
        </w:rPr>
        <w:t>44th Annual Frontiers in Education Conference, FIE 2014</w:t>
      </w:r>
      <w:r w:rsidRPr="00E345FB">
        <w:rPr>
          <w:noProof/>
          <w:sz w:val="22"/>
          <w:szCs w:val="22"/>
        </w:rPr>
        <w:t xml:space="preserve"> (Vol. 2015). Institute of Electrical and Electronics Engineers Inc. https://doi.org/10.1109/FIE.2014.7044081</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Pellegrini, M. (2020). The intersection of design thinking and website creation: Findings from two case studies. In </w:t>
      </w:r>
      <w:r w:rsidRPr="00E345FB">
        <w:rPr>
          <w:i/>
          <w:iCs/>
          <w:noProof/>
          <w:sz w:val="22"/>
          <w:szCs w:val="22"/>
        </w:rPr>
        <w:t>38th ACM International Conference on Design of Communication, SIGDOC 2020</w:t>
      </w:r>
      <w:r w:rsidRPr="00E345FB">
        <w:rPr>
          <w:noProof/>
          <w:sz w:val="22"/>
          <w:szCs w:val="22"/>
        </w:rPr>
        <w:t>. Association for Computing Machinery, Inc. https://doi.org/10.1145/3380851.3416750</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Pirri, S., Lorenzoni, V., &amp; Turchetti, G. (2020). Scoping review and bibliometric analysis of Big Data applications for Medication adherence: An explorative methodological study to enhance consistency in literature. </w:t>
      </w:r>
      <w:r w:rsidRPr="00E345FB">
        <w:rPr>
          <w:i/>
          <w:iCs/>
          <w:noProof/>
          <w:sz w:val="22"/>
          <w:szCs w:val="22"/>
        </w:rPr>
        <w:t>BMC Health Services Research</w:t>
      </w:r>
      <w:r w:rsidRPr="00E345FB">
        <w:rPr>
          <w:noProof/>
          <w:sz w:val="22"/>
          <w:szCs w:val="22"/>
        </w:rPr>
        <w:t xml:space="preserve">, </w:t>
      </w:r>
      <w:r w:rsidRPr="00E345FB">
        <w:rPr>
          <w:i/>
          <w:iCs/>
          <w:noProof/>
          <w:sz w:val="22"/>
          <w:szCs w:val="22"/>
        </w:rPr>
        <w:t>20</w:t>
      </w:r>
      <w:r w:rsidRPr="00E345FB">
        <w:rPr>
          <w:noProof/>
          <w:sz w:val="22"/>
          <w:szCs w:val="22"/>
        </w:rPr>
        <w:t>(1), 1–23. https://doi.org/10.1186/s12913-020-05544-4</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Pruneau, D., Freiman, V., LÃ©ger, M. T., Dionne, L., Richard, V., &amp; Laroche, A.-M. (2021). Design Thinking and Collaborative </w:t>
      </w:r>
      <w:r w:rsidRPr="00E345FB">
        <w:rPr>
          <w:noProof/>
          <w:sz w:val="22"/>
          <w:szCs w:val="22"/>
        </w:rPr>
        <w:lastRenderedPageBreak/>
        <w:t xml:space="preserve">Digital Platforms: Innovative Tools for Co-creating Sustainability Solutions. In </w:t>
      </w:r>
      <w:r w:rsidRPr="00E345FB">
        <w:rPr>
          <w:i/>
          <w:iCs/>
          <w:noProof/>
          <w:sz w:val="22"/>
          <w:szCs w:val="22"/>
        </w:rPr>
        <w:t>World Sustainability Series</w:t>
      </w:r>
      <w:r w:rsidRPr="00E345FB">
        <w:rPr>
          <w:noProof/>
          <w:sz w:val="22"/>
          <w:szCs w:val="22"/>
        </w:rPr>
        <w:t xml:space="preserve"> (pp. 207–226). Springer Science and Business Media Deutschland GmbH. https://doi.org/10.1007/978-3-030-78825-4_13</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Purdy, J. P. (2014). What can design thinking offer writing studies? </w:t>
      </w:r>
      <w:r w:rsidRPr="00E345FB">
        <w:rPr>
          <w:i/>
          <w:iCs/>
          <w:noProof/>
          <w:sz w:val="22"/>
          <w:szCs w:val="22"/>
        </w:rPr>
        <w:t>College Composition and Communication</w:t>
      </w:r>
      <w:r w:rsidRPr="00E345FB">
        <w:rPr>
          <w:noProof/>
          <w:sz w:val="22"/>
          <w:szCs w:val="22"/>
        </w:rPr>
        <w:t xml:space="preserve">, </w:t>
      </w:r>
      <w:r w:rsidRPr="00E345FB">
        <w:rPr>
          <w:i/>
          <w:iCs/>
          <w:noProof/>
          <w:sz w:val="22"/>
          <w:szCs w:val="22"/>
        </w:rPr>
        <w:t>65</w:t>
      </w:r>
      <w:r w:rsidRPr="00E345FB">
        <w:rPr>
          <w:noProof/>
          <w:sz w:val="22"/>
          <w:szCs w:val="22"/>
        </w:rPr>
        <w:t>(4), 612–641. https://www.scopus.com/inward/record.uri?eid=2-s2.0-84901722129&amp;partnerID=40&amp;md5=78b57404a37aca5fd1895a4750c2daa9</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Qi, S., Hua, F., Xu, S., Zhou, Z., &amp; Liu, F. (2021). Trends of global health literacy research (1995-2020): Analysis of mapping knowledge domains based on citation data mining. </w:t>
      </w:r>
      <w:r w:rsidRPr="00E345FB">
        <w:rPr>
          <w:i/>
          <w:iCs/>
          <w:noProof/>
          <w:sz w:val="22"/>
          <w:szCs w:val="22"/>
        </w:rPr>
        <w:t>PLoS ONE</w:t>
      </w:r>
      <w:r w:rsidRPr="00E345FB">
        <w:rPr>
          <w:noProof/>
          <w:sz w:val="22"/>
          <w:szCs w:val="22"/>
        </w:rPr>
        <w:t xml:space="preserve">, </w:t>
      </w:r>
      <w:r w:rsidRPr="00E345FB">
        <w:rPr>
          <w:i/>
          <w:iCs/>
          <w:noProof/>
          <w:sz w:val="22"/>
          <w:szCs w:val="22"/>
        </w:rPr>
        <w:t>16</w:t>
      </w:r>
      <w:r w:rsidRPr="00E345FB">
        <w:rPr>
          <w:noProof/>
          <w:sz w:val="22"/>
          <w:szCs w:val="22"/>
        </w:rPr>
        <w:t>(8 August). https://doi.org/10.1371/JOURNAL.PONE.0254988</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Qian, M., Zhao, B., &amp; Gao, Y. (2019). Exploring the Training Path of Design Thinking of Students in Educational Technology. In </w:t>
      </w:r>
      <w:r w:rsidRPr="00E345FB">
        <w:rPr>
          <w:i/>
          <w:iCs/>
          <w:noProof/>
          <w:sz w:val="22"/>
          <w:szCs w:val="22"/>
        </w:rPr>
        <w:t>2019 IEEE International Conference on Computer Science and Educational Informatization, CSEI 2019</w:t>
      </w:r>
      <w:r w:rsidRPr="00E345FB">
        <w:rPr>
          <w:noProof/>
          <w:sz w:val="22"/>
          <w:szCs w:val="22"/>
        </w:rPr>
        <w:t xml:space="preserve"> (pp. 315–319). Institute of Electrical and Electronics Engineers Inc. https://doi.org/10.1109/CSEI47661.2019.8938895</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Razzouk, R., &amp; Shute, V. (2012). What Is Design Thinking and Why Is It Important? </w:t>
      </w:r>
      <w:r w:rsidRPr="00E345FB">
        <w:rPr>
          <w:i/>
          <w:iCs/>
          <w:noProof/>
          <w:sz w:val="22"/>
          <w:szCs w:val="22"/>
        </w:rPr>
        <w:t>Review of Educational Research</w:t>
      </w:r>
      <w:r w:rsidRPr="00E345FB">
        <w:rPr>
          <w:noProof/>
          <w:sz w:val="22"/>
          <w:szCs w:val="22"/>
        </w:rPr>
        <w:t xml:space="preserve">, </w:t>
      </w:r>
      <w:r w:rsidRPr="00E345FB">
        <w:rPr>
          <w:i/>
          <w:iCs/>
          <w:noProof/>
          <w:sz w:val="22"/>
          <w:szCs w:val="22"/>
        </w:rPr>
        <w:t>82</w:t>
      </w:r>
      <w:r w:rsidRPr="00E345FB">
        <w:rPr>
          <w:noProof/>
          <w:sz w:val="22"/>
          <w:szCs w:val="22"/>
        </w:rPr>
        <w:t>(3), 330–348. https://doi.org/10.3102/0034654312457429</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Reinecke, S. (2016). What is it that design thinking and marketing management can learn from each other? In </w:t>
      </w:r>
      <w:r w:rsidRPr="00E345FB">
        <w:rPr>
          <w:i/>
          <w:iCs/>
          <w:noProof/>
          <w:sz w:val="22"/>
          <w:szCs w:val="22"/>
        </w:rPr>
        <w:t>Design Thinking for Innovation: Research and Practice</w:t>
      </w:r>
      <w:r w:rsidRPr="00E345FB">
        <w:rPr>
          <w:noProof/>
          <w:sz w:val="22"/>
          <w:szCs w:val="22"/>
        </w:rPr>
        <w:t xml:space="preserve"> (pp. 151–162). Springer International Publishing. https://doi.org/10.1007/978-3-319-26100-3_11</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Scott, J. A., Bouzos, E., Hendricks, M. P., &amp; Asuri, P. (2021). Cultivating Student Adoption of Design Thinking and Entrepreneurial Skills by Addressing Complex Challenges in Healthcare Through Industry Partnerships. In </w:t>
      </w:r>
      <w:r w:rsidRPr="00E345FB">
        <w:rPr>
          <w:i/>
          <w:iCs/>
          <w:noProof/>
          <w:sz w:val="22"/>
          <w:szCs w:val="22"/>
        </w:rPr>
        <w:t>2021 ASEE Virtual Annual Conference, ASEE 2021</w:t>
      </w:r>
      <w:r w:rsidRPr="00E345FB">
        <w:rPr>
          <w:noProof/>
          <w:sz w:val="22"/>
          <w:szCs w:val="22"/>
        </w:rPr>
        <w:t>. American Society for Engineering Education. https://www.scopus.com/inward/record.uri?eid=2-s2.0-85124527217&amp;partnerID=40&amp;md5=b66c32275b2b88b868072fcaa88c29bf</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Soledad Ramírez-Montoya, M., Castillo-Martínez, I. M., Sanabria-Z, J., &amp; Miranda, J. (2022). Complex Thinking in the Framework of Education 4.0 and Open Innovation-A Systematic Literature Review. </w:t>
      </w:r>
      <w:r w:rsidRPr="00E345FB">
        <w:rPr>
          <w:i/>
          <w:iCs/>
          <w:noProof/>
          <w:sz w:val="22"/>
          <w:szCs w:val="22"/>
        </w:rPr>
        <w:t xml:space="preserve">Journal of Open </w:t>
      </w:r>
      <w:r w:rsidRPr="00E345FB">
        <w:rPr>
          <w:i/>
          <w:iCs/>
          <w:noProof/>
          <w:sz w:val="22"/>
          <w:szCs w:val="22"/>
        </w:rPr>
        <w:lastRenderedPageBreak/>
        <w:t>Innovation: Technology, Market, and Complexity Article</w:t>
      </w:r>
      <w:r w:rsidRPr="00E345FB">
        <w:rPr>
          <w:noProof/>
          <w:sz w:val="22"/>
          <w:szCs w:val="22"/>
        </w:rPr>
        <w:t>. https://doi.org/10.3390/joitmc8010004</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Souza, A., Ferreira, B., Valentim, N., Correa, L., Marczak, S., &amp; Conte, T. (2020). Supporting the teaching of design thinking techniques for requirements elicitation through a recommendation tool. </w:t>
      </w:r>
      <w:r w:rsidRPr="00E345FB">
        <w:rPr>
          <w:i/>
          <w:iCs/>
          <w:noProof/>
          <w:sz w:val="22"/>
          <w:szCs w:val="22"/>
        </w:rPr>
        <w:t>IET Software</w:t>
      </w:r>
      <w:r w:rsidRPr="00E345FB">
        <w:rPr>
          <w:noProof/>
          <w:sz w:val="22"/>
          <w:szCs w:val="22"/>
        </w:rPr>
        <w:t xml:space="preserve">, </w:t>
      </w:r>
      <w:r w:rsidRPr="00E345FB">
        <w:rPr>
          <w:i/>
          <w:iCs/>
          <w:noProof/>
          <w:sz w:val="22"/>
          <w:szCs w:val="22"/>
        </w:rPr>
        <w:t>14</w:t>
      </w:r>
      <w:r w:rsidRPr="00E345FB">
        <w:rPr>
          <w:noProof/>
          <w:sz w:val="22"/>
          <w:szCs w:val="22"/>
        </w:rPr>
        <w:t>(6), 693–701. https://doi.org/10.1049/iet-sen.2019.0300</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Taajamaa, V., Kirjavainen, S., Repokari, L., Sjoman, H., Utriainen, T., &amp; Salakoski, T. (2014). Dancing with ambiguity design thinking in interdisciplinary engineering education. In </w:t>
      </w:r>
      <w:r w:rsidRPr="00E345FB">
        <w:rPr>
          <w:i/>
          <w:iCs/>
          <w:noProof/>
          <w:sz w:val="22"/>
          <w:szCs w:val="22"/>
        </w:rPr>
        <w:t>2013 IEEE-Tsinghua International Design Management Symposium, TIDMS 2013</w:t>
      </w:r>
      <w:r w:rsidRPr="00E345FB">
        <w:rPr>
          <w:noProof/>
          <w:sz w:val="22"/>
          <w:szCs w:val="22"/>
        </w:rPr>
        <w:t xml:space="preserve"> (pp. 353–360). Institute of Electrical and Electronics Engineers Inc. https://doi.org/10.1109/TIDMS.2013.6981258</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Tian, X., Geng, Y., Sarkis, J., &amp; Zhong, S. (2018). Trends and features of embodied flows associated with international trade based on bibliometric analysis. </w:t>
      </w:r>
      <w:r w:rsidRPr="00E345FB">
        <w:rPr>
          <w:i/>
          <w:iCs/>
          <w:noProof/>
          <w:sz w:val="22"/>
          <w:szCs w:val="22"/>
        </w:rPr>
        <w:t>Resources, Conservation and Recycling</w:t>
      </w:r>
      <w:r w:rsidRPr="00E345FB">
        <w:rPr>
          <w:noProof/>
          <w:sz w:val="22"/>
          <w:szCs w:val="22"/>
        </w:rPr>
        <w:t xml:space="preserve">, </w:t>
      </w:r>
      <w:r w:rsidRPr="00E345FB">
        <w:rPr>
          <w:i/>
          <w:iCs/>
          <w:noProof/>
          <w:sz w:val="22"/>
          <w:szCs w:val="22"/>
        </w:rPr>
        <w:t>131</w:t>
      </w:r>
      <w:r w:rsidRPr="00E345FB">
        <w:rPr>
          <w:noProof/>
          <w:sz w:val="22"/>
          <w:szCs w:val="22"/>
        </w:rPr>
        <w:t>(September 2017), 148–157. https://doi.org/10.1016/j.resconrec.2018.01.002</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Viswanathan, V. K., &amp; Linsey, J. S. (2012). Physical models and design thinking: A study of functionality, novelty and variety of ideas. </w:t>
      </w:r>
      <w:r w:rsidRPr="00E345FB">
        <w:rPr>
          <w:i/>
          <w:iCs/>
          <w:noProof/>
          <w:sz w:val="22"/>
          <w:szCs w:val="22"/>
        </w:rPr>
        <w:t>Journal of Mechanical Design, Transactions of the ASME</w:t>
      </w:r>
      <w:r w:rsidRPr="00E345FB">
        <w:rPr>
          <w:noProof/>
          <w:sz w:val="22"/>
          <w:szCs w:val="22"/>
        </w:rPr>
        <w:t xml:space="preserve">, </w:t>
      </w:r>
      <w:r w:rsidRPr="00E345FB">
        <w:rPr>
          <w:i/>
          <w:iCs/>
          <w:noProof/>
          <w:sz w:val="22"/>
          <w:szCs w:val="22"/>
        </w:rPr>
        <w:t>134</w:t>
      </w:r>
      <w:r w:rsidRPr="00E345FB">
        <w:rPr>
          <w:noProof/>
          <w:sz w:val="22"/>
          <w:szCs w:val="22"/>
        </w:rPr>
        <w:t>(9). https://doi.org/10.1115/1.4007148</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Wallis, S. E. (2019). Understanding the Systemic Structure of Models: A Missing Piece of the Design Thinking Puzzle. In </w:t>
      </w:r>
      <w:r w:rsidRPr="00E345FB">
        <w:rPr>
          <w:i/>
          <w:iCs/>
          <w:noProof/>
          <w:sz w:val="22"/>
          <w:szCs w:val="22"/>
        </w:rPr>
        <w:t>She Ji</w:t>
      </w:r>
      <w:r w:rsidRPr="00E345FB">
        <w:rPr>
          <w:noProof/>
          <w:sz w:val="22"/>
          <w:szCs w:val="22"/>
        </w:rPr>
        <w:t xml:space="preserve"> (Vol. 5, Issue 4, pp. 390–394). Tongji University Press. https://doi.org/10.1016/j.sheji.2019.11.014</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Wang, X., &amp; Zhang, Y. (2020). The Application of Art Design Thinking in Visual Works from the Perspective of Digital Media. In </w:t>
      </w:r>
      <w:r w:rsidRPr="00E345FB">
        <w:rPr>
          <w:i/>
          <w:iCs/>
          <w:noProof/>
          <w:sz w:val="22"/>
          <w:szCs w:val="22"/>
        </w:rPr>
        <w:t>2020 3rd International Conference on Computer Information Science and Application Technology, CISAT 2020</w:t>
      </w:r>
      <w:r w:rsidRPr="00E345FB">
        <w:rPr>
          <w:noProof/>
          <w:sz w:val="22"/>
          <w:szCs w:val="22"/>
        </w:rPr>
        <w:t xml:space="preserve"> (Vol. 1634, Issue 1). IOP Publishing Ltd. https://doi.org/10.1088/1742-6596/1634/1/012006</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Wang, Z., Zhao, Y., &amp; Wang, B. (2018). A bibliometric analysis of climate change adaptation based on massive research literature data. </w:t>
      </w:r>
      <w:r w:rsidRPr="00E345FB">
        <w:rPr>
          <w:i/>
          <w:iCs/>
          <w:noProof/>
          <w:sz w:val="22"/>
          <w:szCs w:val="22"/>
        </w:rPr>
        <w:t>Journal of Cleaner Production</w:t>
      </w:r>
      <w:r w:rsidRPr="00E345FB">
        <w:rPr>
          <w:noProof/>
          <w:sz w:val="22"/>
          <w:szCs w:val="22"/>
        </w:rPr>
        <w:t xml:space="preserve">, </w:t>
      </w:r>
      <w:r w:rsidRPr="00E345FB">
        <w:rPr>
          <w:i/>
          <w:iCs/>
          <w:noProof/>
          <w:sz w:val="22"/>
          <w:szCs w:val="22"/>
        </w:rPr>
        <w:t>199</w:t>
      </w:r>
      <w:r w:rsidRPr="00E345FB">
        <w:rPr>
          <w:noProof/>
          <w:sz w:val="22"/>
          <w:szCs w:val="22"/>
        </w:rPr>
        <w:t>, 1072–1082. https://doi.org/10.1016/j.jclepro.2018.06.183</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Yen, W.-H., Chang, C.-C., &amp; Willliams, J. (2021). Gender Differences in Engineering Design Thinking in a Project-Based STEAM Course. In </w:t>
      </w:r>
      <w:r w:rsidRPr="00E345FB">
        <w:rPr>
          <w:i/>
          <w:iCs/>
          <w:noProof/>
          <w:sz w:val="22"/>
          <w:szCs w:val="22"/>
        </w:rPr>
        <w:t>4th International Conference on Innovative Technologies and Learning, ICITL 2021</w:t>
      </w:r>
      <w:r w:rsidRPr="00E345FB">
        <w:rPr>
          <w:noProof/>
          <w:sz w:val="22"/>
          <w:szCs w:val="22"/>
        </w:rPr>
        <w:t xml:space="preserve"> (Vol. 13117, pp. 557–566). Springer </w:t>
      </w:r>
      <w:r w:rsidRPr="00E345FB">
        <w:rPr>
          <w:noProof/>
          <w:sz w:val="22"/>
          <w:szCs w:val="22"/>
        </w:rPr>
        <w:lastRenderedPageBreak/>
        <w:t>Science and Business Media Deutschland GmbH. https://doi.org/10.1007/978-3-030-91540-7_57</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Zakaria, R., Ahmi, A., Ahmad, A. H., &amp; Othman, Z. (2021). Worldwide melatonin research: a bibliometric analysis of the published literature between 2015 and 2019. </w:t>
      </w:r>
      <w:r w:rsidRPr="00E345FB">
        <w:rPr>
          <w:i/>
          <w:iCs/>
          <w:noProof/>
          <w:sz w:val="22"/>
          <w:szCs w:val="22"/>
        </w:rPr>
        <w:t>Chronobiology International</w:t>
      </w:r>
      <w:r w:rsidRPr="00E345FB">
        <w:rPr>
          <w:noProof/>
          <w:sz w:val="22"/>
          <w:szCs w:val="22"/>
        </w:rPr>
        <w:t xml:space="preserve">, </w:t>
      </w:r>
      <w:r w:rsidRPr="00E345FB">
        <w:rPr>
          <w:i/>
          <w:iCs/>
          <w:noProof/>
          <w:sz w:val="22"/>
          <w:szCs w:val="22"/>
        </w:rPr>
        <w:t>38</w:t>
      </w:r>
      <w:r w:rsidRPr="00E345FB">
        <w:rPr>
          <w:noProof/>
          <w:sz w:val="22"/>
          <w:szCs w:val="22"/>
        </w:rPr>
        <w:t>(1), 27–37. https://doi.org/10.1080/07420528.2020.1838534</w:t>
      </w:r>
    </w:p>
    <w:p w:rsidR="000C6954" w:rsidRPr="00E345FB" w:rsidRDefault="000C6954" w:rsidP="00801E74">
      <w:pPr>
        <w:widowControl w:val="0"/>
        <w:autoSpaceDE w:val="0"/>
        <w:autoSpaceDN w:val="0"/>
        <w:adjustRightInd w:val="0"/>
        <w:jc w:val="both"/>
        <w:rPr>
          <w:noProof/>
          <w:sz w:val="22"/>
          <w:szCs w:val="22"/>
        </w:rPr>
      </w:pPr>
      <w:r w:rsidRPr="00E345FB">
        <w:rPr>
          <w:noProof/>
          <w:sz w:val="22"/>
          <w:szCs w:val="22"/>
        </w:rPr>
        <w:t xml:space="preserve">Zakaria, R., Ahmi, A., Ahmad, A. H., Othman, Z., Azman, K. F., Ab Aziz, C. B., Ismail, C. A. N., &amp; Shafin, N. (2021). Visualising and mapping a decade of literature on honey research: a bibliometric analysis from 2011 to 2020. </w:t>
      </w:r>
      <w:r w:rsidRPr="00E345FB">
        <w:rPr>
          <w:i/>
          <w:iCs/>
          <w:noProof/>
          <w:sz w:val="22"/>
          <w:szCs w:val="22"/>
        </w:rPr>
        <w:t>Journal of Apicultural Research</w:t>
      </w:r>
      <w:r w:rsidRPr="00E345FB">
        <w:rPr>
          <w:noProof/>
          <w:sz w:val="22"/>
          <w:szCs w:val="22"/>
        </w:rPr>
        <w:t xml:space="preserve">, </w:t>
      </w:r>
      <w:r w:rsidRPr="00E345FB">
        <w:rPr>
          <w:i/>
          <w:iCs/>
          <w:noProof/>
          <w:sz w:val="22"/>
          <w:szCs w:val="22"/>
        </w:rPr>
        <w:t>60</w:t>
      </w:r>
      <w:r w:rsidRPr="00E345FB">
        <w:rPr>
          <w:noProof/>
          <w:sz w:val="22"/>
          <w:szCs w:val="22"/>
        </w:rPr>
        <w:t>(3), 359–368. https://doi.org/10.1080/00218839.2021.1898789</w:t>
      </w:r>
    </w:p>
    <w:p w:rsidR="00891E88" w:rsidRPr="00E345FB" w:rsidRDefault="00064DD5" w:rsidP="00801E74">
      <w:pPr>
        <w:suppressAutoHyphens/>
        <w:autoSpaceDE w:val="0"/>
        <w:autoSpaceDN w:val="0"/>
        <w:adjustRightInd w:val="0"/>
        <w:jc w:val="both"/>
        <w:rPr>
          <w:color w:val="000000" w:themeColor="text1"/>
          <w:sz w:val="22"/>
          <w:szCs w:val="22"/>
          <w:lang w:val="en-MY"/>
        </w:rPr>
      </w:pPr>
      <w:r w:rsidRPr="00E345FB">
        <w:rPr>
          <w:color w:val="000000" w:themeColor="text1"/>
          <w:sz w:val="22"/>
          <w:szCs w:val="22"/>
          <w:lang w:val="en-MY"/>
        </w:rPr>
        <w:fldChar w:fldCharType="end"/>
      </w:r>
    </w:p>
    <w:p w:rsidR="00891E88" w:rsidRPr="00E345FB" w:rsidRDefault="00891E88" w:rsidP="00801E74">
      <w:pPr>
        <w:suppressAutoHyphens/>
        <w:autoSpaceDE w:val="0"/>
        <w:autoSpaceDN w:val="0"/>
        <w:adjustRightInd w:val="0"/>
        <w:jc w:val="both"/>
        <w:rPr>
          <w:color w:val="000000" w:themeColor="text1"/>
          <w:sz w:val="22"/>
          <w:szCs w:val="22"/>
          <w:lang w:val="en-GB"/>
        </w:rPr>
      </w:pPr>
    </w:p>
    <w:sectPr w:rsidR="00891E88" w:rsidRPr="00E345FB" w:rsidSect="00947AD3">
      <w:type w:val="continuous"/>
      <w:pgSz w:w="11907" w:h="16840" w:code="9"/>
      <w:pgMar w:top="1440" w:right="1440" w:bottom="1440" w:left="1440" w:header="709" w:footer="709"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655" w:rsidRDefault="00546655">
      <w:r>
        <w:separator/>
      </w:r>
    </w:p>
  </w:endnote>
  <w:endnote w:type="continuationSeparator" w:id="1">
    <w:p w:rsidR="00546655" w:rsidRDefault="005466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Palatino">
    <w:altName w:val="Palatino"/>
    <w:charset w:val="4D"/>
    <w:family w:val="auto"/>
    <w:pitch w:val="variable"/>
    <w:sig w:usb0="A00002FF" w:usb1="7800205A" w:usb2="14600000" w:usb3="00000000" w:csb0="00000193" w:csb1="00000000"/>
  </w:font>
  <w:font w:name="Helvetica Condensed">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1F9" w:rsidRDefault="00E411F9" w:rsidP="00E411F9">
    <w:pPr>
      <w:pStyle w:val="Footer"/>
    </w:pPr>
    <w:r>
      <w:rPr>
        <w:rFonts w:ascii="Calibri" w:hAnsi="Calibri"/>
        <w:sz w:val="20"/>
      </w:rPr>
      <w:t>©</w:t>
    </w:r>
    <w:r>
      <w:rPr>
        <w:rFonts w:ascii="Calibri" w:hAnsi="Calibri"/>
        <w:spacing w:val="-3"/>
        <w:sz w:val="20"/>
      </w:rPr>
      <w:t xml:space="preserve"> </w:t>
    </w:r>
    <w:r>
      <w:rPr>
        <w:rFonts w:ascii="Calibri" w:hAnsi="Calibri"/>
        <w:sz w:val="20"/>
      </w:rPr>
      <w:t>2021</w:t>
    </w:r>
    <w:r>
      <w:rPr>
        <w:rFonts w:ascii="Calibri" w:hAnsi="Calibri"/>
        <w:spacing w:val="-2"/>
        <w:sz w:val="20"/>
      </w:rPr>
      <w:t xml:space="preserve"> </w:t>
    </w:r>
    <w:r>
      <w:rPr>
        <w:rFonts w:ascii="Calibri" w:hAnsi="Calibri"/>
        <w:sz w:val="20"/>
      </w:rPr>
      <w:t>JPPW.</w:t>
    </w:r>
    <w:r>
      <w:rPr>
        <w:rFonts w:ascii="Calibri" w:hAnsi="Calibri"/>
        <w:spacing w:val="-2"/>
        <w:sz w:val="20"/>
      </w:rPr>
      <w:t xml:space="preserve"> </w:t>
    </w:r>
    <w:r>
      <w:rPr>
        <w:rFonts w:ascii="Calibri" w:hAnsi="Calibri"/>
        <w:sz w:val="20"/>
      </w:rPr>
      <w:t>All</w:t>
    </w:r>
    <w:r>
      <w:rPr>
        <w:rFonts w:ascii="Calibri" w:hAnsi="Calibri"/>
        <w:spacing w:val="-2"/>
        <w:sz w:val="20"/>
      </w:rPr>
      <w:t xml:space="preserve"> </w:t>
    </w:r>
    <w:r>
      <w:rPr>
        <w:rFonts w:ascii="Calibri" w:hAnsi="Calibri"/>
        <w:sz w:val="20"/>
      </w:rPr>
      <w:t>rights reserved</w:t>
    </w:r>
  </w:p>
  <w:p w:rsidR="00E345FB" w:rsidRDefault="00E345FB">
    <w:pPr>
      <w:pStyle w:val="Footer"/>
      <w:jc w:val="center"/>
    </w:pPr>
  </w:p>
  <w:p w:rsidR="00E345FB" w:rsidRDefault="00E345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655" w:rsidRDefault="00546655">
      <w:r>
        <w:separator/>
      </w:r>
    </w:p>
  </w:footnote>
  <w:footnote w:type="continuationSeparator" w:id="1">
    <w:p w:rsidR="00546655" w:rsidRDefault="005466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A64" w:rsidRDefault="00D56A64" w:rsidP="00D56A64">
    <w:pPr>
      <w:pStyle w:val="Header"/>
      <w:tabs>
        <w:tab w:val="clear" w:pos="4320"/>
        <w:tab w:val="clear" w:pos="8640"/>
        <w:tab w:val="left" w:pos="1245"/>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5278234"/>
      <w:docPartObj>
        <w:docPartGallery w:val="Page Numbers (Top of Page)"/>
        <w:docPartUnique/>
      </w:docPartObj>
    </w:sdtPr>
    <w:sdtContent>
      <w:p w:rsidR="00D56A64" w:rsidRDefault="00D56A64">
        <w:pPr>
          <w:pStyle w:val="Header"/>
        </w:pPr>
        <w:r w:rsidRPr="00D56A64">
          <w:rPr>
            <w:sz w:val="20"/>
            <w:szCs w:val="20"/>
          </w:rPr>
          <w:fldChar w:fldCharType="begin"/>
        </w:r>
        <w:r w:rsidRPr="00D56A64">
          <w:rPr>
            <w:sz w:val="20"/>
            <w:szCs w:val="20"/>
          </w:rPr>
          <w:instrText xml:space="preserve"> PAGE   \* MERGEFORMAT </w:instrText>
        </w:r>
        <w:r w:rsidRPr="00D56A64">
          <w:rPr>
            <w:sz w:val="20"/>
            <w:szCs w:val="20"/>
          </w:rPr>
          <w:fldChar w:fldCharType="separate"/>
        </w:r>
        <w:r w:rsidR="00015ABF">
          <w:rPr>
            <w:noProof/>
            <w:sz w:val="20"/>
            <w:szCs w:val="20"/>
          </w:rPr>
          <w:t>1024</w:t>
        </w:r>
        <w:r w:rsidRPr="00D56A64">
          <w:rPr>
            <w:sz w:val="20"/>
            <w:szCs w:val="20"/>
          </w:rPr>
          <w:fldChar w:fldCharType="end"/>
        </w:r>
        <w:r w:rsidRPr="00D56A64">
          <w:rPr>
            <w:sz w:val="20"/>
            <w:szCs w:val="20"/>
          </w:rPr>
          <w:t xml:space="preserve">                                                                                     </w:t>
        </w:r>
        <w:r>
          <w:rPr>
            <w:sz w:val="20"/>
            <w:szCs w:val="20"/>
          </w:rPr>
          <w:t xml:space="preserve">             </w:t>
        </w:r>
        <w:r w:rsidRPr="00D56A64">
          <w:rPr>
            <w:sz w:val="20"/>
            <w:szCs w:val="20"/>
          </w:rPr>
          <w:t xml:space="preserve">   </w:t>
        </w:r>
        <w:r w:rsidR="00E0091F">
          <w:rPr>
            <w:sz w:val="20"/>
            <w:szCs w:val="20"/>
          </w:rPr>
          <w:t xml:space="preserve">    </w:t>
        </w:r>
        <w:r w:rsidRPr="00D56A64">
          <w:rPr>
            <w:sz w:val="20"/>
            <w:szCs w:val="20"/>
          </w:rPr>
          <w:t xml:space="preserve">  </w:t>
        </w:r>
        <w:r w:rsidRPr="00D56A64">
          <w:rPr>
            <w:rFonts w:ascii="Calibri"/>
            <w:sz w:val="20"/>
            <w:szCs w:val="20"/>
          </w:rPr>
          <w:t xml:space="preserve"> </w:t>
        </w:r>
        <w:r>
          <w:rPr>
            <w:rFonts w:ascii="Calibri"/>
            <w:sz w:val="20"/>
          </w:rPr>
          <w:t>Journal</w:t>
        </w:r>
        <w:r>
          <w:rPr>
            <w:rFonts w:ascii="Calibri"/>
            <w:spacing w:val="-3"/>
            <w:sz w:val="20"/>
          </w:rPr>
          <w:t xml:space="preserve"> </w:t>
        </w:r>
        <w:r>
          <w:rPr>
            <w:rFonts w:ascii="Calibri"/>
            <w:sz w:val="20"/>
          </w:rPr>
          <w:t>of</w:t>
        </w:r>
        <w:r>
          <w:rPr>
            <w:rFonts w:ascii="Calibri"/>
            <w:spacing w:val="-4"/>
            <w:sz w:val="20"/>
          </w:rPr>
          <w:t xml:space="preserve"> </w:t>
        </w:r>
        <w:r>
          <w:rPr>
            <w:rFonts w:ascii="Calibri"/>
            <w:sz w:val="20"/>
          </w:rPr>
          <w:t>Positive</w:t>
        </w:r>
        <w:r>
          <w:rPr>
            <w:rFonts w:ascii="Calibri"/>
            <w:spacing w:val="-3"/>
            <w:sz w:val="20"/>
          </w:rPr>
          <w:t xml:space="preserve"> </w:t>
        </w:r>
        <w:r>
          <w:rPr>
            <w:rFonts w:ascii="Calibri"/>
            <w:sz w:val="20"/>
          </w:rPr>
          <w:t>School</w:t>
        </w:r>
        <w:r>
          <w:rPr>
            <w:rFonts w:ascii="Calibri"/>
            <w:spacing w:val="-2"/>
            <w:sz w:val="20"/>
          </w:rPr>
          <w:t xml:space="preserve"> </w:t>
        </w:r>
        <w:r>
          <w:rPr>
            <w:rFonts w:ascii="Calibri"/>
            <w:sz w:val="20"/>
          </w:rPr>
          <w:t>Psychology</w:t>
        </w:r>
      </w:p>
    </w:sdtContent>
  </w:sdt>
  <w:p w:rsidR="00E345FB" w:rsidRDefault="00E345FB" w:rsidP="003D2E47">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A64" w:rsidRPr="00C143F7" w:rsidRDefault="00D56A64" w:rsidP="00D56A64">
    <w:pPr>
      <w:rPr>
        <w:rFonts w:ascii="Calibri"/>
        <w:sz w:val="20"/>
      </w:rPr>
    </w:pPr>
    <w:r>
      <w:rPr>
        <w:rFonts w:ascii="Calibri"/>
        <w:sz w:val="20"/>
      </w:rPr>
      <w:t>Journal</w:t>
    </w:r>
    <w:r>
      <w:rPr>
        <w:rFonts w:ascii="Calibri"/>
        <w:spacing w:val="-3"/>
        <w:sz w:val="20"/>
      </w:rPr>
      <w:t xml:space="preserve"> </w:t>
    </w:r>
    <w:r>
      <w:rPr>
        <w:rFonts w:ascii="Calibri"/>
        <w:sz w:val="20"/>
      </w:rPr>
      <w:t>of</w:t>
    </w:r>
    <w:r>
      <w:rPr>
        <w:rFonts w:ascii="Calibri"/>
        <w:spacing w:val="-4"/>
        <w:sz w:val="20"/>
      </w:rPr>
      <w:t xml:space="preserve"> </w:t>
    </w:r>
    <w:r>
      <w:rPr>
        <w:rFonts w:ascii="Calibri"/>
        <w:sz w:val="20"/>
      </w:rPr>
      <w:t>Positive</w:t>
    </w:r>
    <w:r>
      <w:rPr>
        <w:rFonts w:ascii="Calibri"/>
        <w:spacing w:val="-3"/>
        <w:sz w:val="20"/>
      </w:rPr>
      <w:t xml:space="preserve"> </w:t>
    </w:r>
    <w:r>
      <w:rPr>
        <w:rFonts w:ascii="Calibri"/>
        <w:sz w:val="20"/>
      </w:rPr>
      <w:t>School</w:t>
    </w:r>
    <w:r>
      <w:rPr>
        <w:rFonts w:ascii="Calibri"/>
        <w:spacing w:val="-2"/>
        <w:sz w:val="20"/>
      </w:rPr>
      <w:t xml:space="preserve"> </w:t>
    </w:r>
    <w:r>
      <w:rPr>
        <w:rFonts w:ascii="Calibri"/>
        <w:sz w:val="20"/>
      </w:rPr>
      <w:t xml:space="preserve">Psychology                                                                 </w:t>
    </w:r>
    <w:r w:rsidR="00E0091F">
      <w:rPr>
        <w:rFonts w:ascii="Calibri"/>
        <w:sz w:val="20"/>
      </w:rPr>
      <w:t xml:space="preserve">         </w:t>
    </w:r>
    <w:r>
      <w:rPr>
        <w:rFonts w:ascii="Calibri"/>
        <w:sz w:val="20"/>
      </w:rPr>
      <w:t xml:space="preserve">   </w:t>
    </w:r>
    <w:r>
      <w:rPr>
        <w:rFonts w:ascii="Calibri"/>
        <w:color w:val="0000FF"/>
        <w:sz w:val="20"/>
        <w:u w:val="single" w:color="0000FF"/>
      </w:rPr>
      <w:t>http://journalppw.com</w:t>
    </w:r>
    <w:r>
      <w:rPr>
        <w:rFonts w:ascii="Calibri"/>
        <w:sz w:val="20"/>
      </w:rPr>
      <w:t xml:space="preserve">                                                                                                                                            </w:t>
    </w:r>
    <w:r>
      <w:rPr>
        <w:rFonts w:ascii="Calibri"/>
      </w:rPr>
      <w:t xml:space="preserve">                                         </w:t>
    </w:r>
    <w:r>
      <w:rPr>
        <w:rFonts w:ascii="Calibri"/>
        <w:sz w:val="20"/>
      </w:rPr>
      <w:t xml:space="preserve">                                          </w:t>
    </w:r>
    <w:r>
      <w:rPr>
        <w:sz w:val="20"/>
      </w:rPr>
      <w:t xml:space="preserve">                                                         </w:t>
    </w:r>
    <w:r>
      <w:rPr>
        <w:rFonts w:ascii="Calibri"/>
        <w:sz w:val="20"/>
      </w:rPr>
      <w:t xml:space="preserve">                                                                                                                                          </w:t>
    </w:r>
    <w:r>
      <w:rPr>
        <w:sz w:val="20"/>
      </w:rPr>
      <w:t xml:space="preserve">    </w:t>
    </w:r>
    <w:r>
      <w:rPr>
        <w:rFonts w:ascii="Calibri"/>
        <w:sz w:val="20"/>
      </w:rPr>
      <w:t xml:space="preserve">                                                                      </w:t>
    </w:r>
    <w:r>
      <w:rPr>
        <w:rFonts w:ascii="Calibri" w:hAnsi="Calibri"/>
        <w:sz w:val="20"/>
      </w:rPr>
      <w:t>2022,</w:t>
    </w:r>
    <w:r>
      <w:rPr>
        <w:rFonts w:ascii="Calibri" w:hAnsi="Calibri"/>
        <w:spacing w:val="-2"/>
        <w:sz w:val="20"/>
      </w:rPr>
      <w:t xml:space="preserve"> </w:t>
    </w:r>
    <w:r>
      <w:rPr>
        <w:rFonts w:ascii="Calibri" w:hAnsi="Calibri"/>
        <w:sz w:val="20"/>
      </w:rPr>
      <w:t>Vol.</w:t>
    </w:r>
    <w:r>
      <w:rPr>
        <w:rFonts w:ascii="Calibri" w:hAnsi="Calibri"/>
        <w:spacing w:val="-2"/>
        <w:sz w:val="20"/>
      </w:rPr>
      <w:t xml:space="preserve"> </w:t>
    </w:r>
    <w:r>
      <w:rPr>
        <w:rFonts w:ascii="Calibri" w:hAnsi="Calibri"/>
        <w:sz w:val="20"/>
      </w:rPr>
      <w:t>6,</w:t>
    </w:r>
    <w:r>
      <w:rPr>
        <w:rFonts w:ascii="Calibri" w:hAnsi="Calibri"/>
        <w:spacing w:val="-2"/>
        <w:sz w:val="20"/>
      </w:rPr>
      <w:t xml:space="preserve"> </w:t>
    </w:r>
    <w:r>
      <w:rPr>
        <w:rFonts w:ascii="Calibri" w:hAnsi="Calibri"/>
        <w:sz w:val="20"/>
      </w:rPr>
      <w:t>No.</w:t>
    </w:r>
    <w:r>
      <w:rPr>
        <w:rFonts w:ascii="Calibri" w:hAnsi="Calibri"/>
        <w:spacing w:val="-2"/>
        <w:sz w:val="20"/>
      </w:rPr>
      <w:t xml:space="preserve"> </w:t>
    </w:r>
    <w:r w:rsidRPr="00371D28">
      <w:rPr>
        <w:sz w:val="20"/>
        <w:szCs w:val="20"/>
      </w:rPr>
      <w:t>4, 10</w:t>
    </w:r>
    <w:r>
      <w:rPr>
        <w:sz w:val="20"/>
        <w:szCs w:val="20"/>
      </w:rPr>
      <w:t>22</w:t>
    </w:r>
    <w:r w:rsidRPr="00371D28">
      <w:rPr>
        <w:sz w:val="20"/>
        <w:szCs w:val="20"/>
      </w:rPr>
      <w:t>-10</w:t>
    </w:r>
    <w:r>
      <w:rPr>
        <w:sz w:val="20"/>
        <w:szCs w:val="20"/>
      </w:rPr>
      <w:t>38</w:t>
    </w:r>
  </w:p>
  <w:p w:rsidR="00D56A64" w:rsidRDefault="00D56A6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5278238"/>
      <w:docPartObj>
        <w:docPartGallery w:val="Page Numbers (Top of Page)"/>
        <w:docPartUnique/>
      </w:docPartObj>
    </w:sdtPr>
    <w:sdtContent>
      <w:p w:rsidR="00D56A64" w:rsidRDefault="00D56A64">
        <w:pPr>
          <w:pStyle w:val="Header"/>
        </w:pPr>
        <w:fldSimple w:instr=" PAGE   \* MERGEFORMAT ">
          <w:r w:rsidR="00E0091F">
            <w:rPr>
              <w:noProof/>
            </w:rPr>
            <w:t>1026</w:t>
          </w:r>
        </w:fldSimple>
      </w:p>
    </w:sdtContent>
  </w:sdt>
  <w:p w:rsidR="00D56A64" w:rsidRDefault="00D56A6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A7ACA"/>
    <w:multiLevelType w:val="hybridMultilevel"/>
    <w:tmpl w:val="F57E9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62E71"/>
    <w:multiLevelType w:val="hybridMultilevel"/>
    <w:tmpl w:val="AEB4C37E"/>
    <w:lvl w:ilvl="0" w:tplc="60C6EC5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326218E8"/>
    <w:multiLevelType w:val="hybridMultilevel"/>
    <w:tmpl w:val="B790A8F6"/>
    <w:lvl w:ilvl="0" w:tplc="0742BA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5FF3D97"/>
    <w:multiLevelType w:val="hybridMultilevel"/>
    <w:tmpl w:val="57EC4B6A"/>
    <w:lvl w:ilvl="0" w:tplc="728AA99C">
      <w:start w:val="1"/>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890F67"/>
    <w:multiLevelType w:val="singleLevel"/>
    <w:tmpl w:val="7F50BDEA"/>
    <w:lvl w:ilvl="0">
      <w:start w:val="1"/>
      <w:numFmt w:val="decimal"/>
      <w:lvlText w:val="[%1]"/>
      <w:lvlJc w:val="left"/>
      <w:pPr>
        <w:tabs>
          <w:tab w:val="num" w:pos="482"/>
        </w:tabs>
        <w:ind w:left="482" w:hanging="482"/>
      </w:pPr>
      <w:rPr>
        <w:rFonts w:hint="eastAsia"/>
        <w:sz w:val="16"/>
        <w:szCs w:val="16"/>
      </w:rPr>
    </w:lvl>
  </w:abstractNum>
  <w:abstractNum w:abstractNumId="6">
    <w:nsid w:val="47C8193D"/>
    <w:multiLevelType w:val="hybridMultilevel"/>
    <w:tmpl w:val="CDD04D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0AD31CE"/>
    <w:multiLevelType w:val="hybridMultilevel"/>
    <w:tmpl w:val="EE164FF4"/>
    <w:lvl w:ilvl="0" w:tplc="0409000F">
      <w:start w:val="1"/>
      <w:numFmt w:val="decimal"/>
      <w:lvlText w:val="%1."/>
      <w:lvlJc w:val="left"/>
      <w:pPr>
        <w:ind w:left="220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8550EE"/>
    <w:multiLevelType w:val="hybridMultilevel"/>
    <w:tmpl w:val="27E4A254"/>
    <w:lvl w:ilvl="0" w:tplc="F74EEC9E">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3"/>
  </w:num>
  <w:num w:numId="5">
    <w:abstractNumId w:val="0"/>
  </w:num>
  <w:num w:numId="6">
    <w:abstractNumId w:val="2"/>
  </w:num>
  <w:num w:numId="7">
    <w:abstractNumId w:val="7"/>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autoHyphenation/>
  <w:hyphenationZone w:val="357"/>
  <w:drawingGridHorizontalSpacing w:val="120"/>
  <w:displayHorizontalDrawingGridEvery w:val="2"/>
  <w:noPunctuationKerning/>
  <w:characterSpacingControl w:val="doNotCompress"/>
  <w:hdrShapeDefaults>
    <o:shapedefaults v:ext="edit" spidmax="8194"/>
  </w:hdrShapeDefaults>
  <w:footnotePr>
    <w:footnote w:id="0"/>
    <w:footnote w:id="1"/>
  </w:footnotePr>
  <w:endnotePr>
    <w:endnote w:id="0"/>
    <w:endnote w:id="1"/>
  </w:endnotePr>
  <w:compat>
    <w:applyBreakingRules/>
    <w:useFELayout/>
  </w:compat>
  <w:rsids>
    <w:rsidRoot w:val="00115089"/>
    <w:rsid w:val="000009F0"/>
    <w:rsid w:val="0000213B"/>
    <w:rsid w:val="000026A5"/>
    <w:rsid w:val="00006EF2"/>
    <w:rsid w:val="000070B8"/>
    <w:rsid w:val="000106AA"/>
    <w:rsid w:val="00015ABF"/>
    <w:rsid w:val="00017421"/>
    <w:rsid w:val="00020BA0"/>
    <w:rsid w:val="00023722"/>
    <w:rsid w:val="00027734"/>
    <w:rsid w:val="00027B61"/>
    <w:rsid w:val="00027E88"/>
    <w:rsid w:val="000335E4"/>
    <w:rsid w:val="0003423B"/>
    <w:rsid w:val="000354DE"/>
    <w:rsid w:val="00037F03"/>
    <w:rsid w:val="00040C35"/>
    <w:rsid w:val="00041955"/>
    <w:rsid w:val="00042661"/>
    <w:rsid w:val="00043FB6"/>
    <w:rsid w:val="000447EC"/>
    <w:rsid w:val="00046D77"/>
    <w:rsid w:val="00047387"/>
    <w:rsid w:val="000479B9"/>
    <w:rsid w:val="00052679"/>
    <w:rsid w:val="00052B0F"/>
    <w:rsid w:val="00053481"/>
    <w:rsid w:val="00054CB5"/>
    <w:rsid w:val="00055245"/>
    <w:rsid w:val="00063C2D"/>
    <w:rsid w:val="00064DD5"/>
    <w:rsid w:val="000658E4"/>
    <w:rsid w:val="00071621"/>
    <w:rsid w:val="000718A8"/>
    <w:rsid w:val="00073105"/>
    <w:rsid w:val="00081249"/>
    <w:rsid w:val="00081413"/>
    <w:rsid w:val="00081A80"/>
    <w:rsid w:val="00081BE6"/>
    <w:rsid w:val="0008256D"/>
    <w:rsid w:val="00083F08"/>
    <w:rsid w:val="00086F00"/>
    <w:rsid w:val="000871EB"/>
    <w:rsid w:val="00087384"/>
    <w:rsid w:val="0009085A"/>
    <w:rsid w:val="00090AB9"/>
    <w:rsid w:val="000920C8"/>
    <w:rsid w:val="000928C4"/>
    <w:rsid w:val="00096516"/>
    <w:rsid w:val="00097C20"/>
    <w:rsid w:val="000A2F7D"/>
    <w:rsid w:val="000A4051"/>
    <w:rsid w:val="000A70BF"/>
    <w:rsid w:val="000A7633"/>
    <w:rsid w:val="000B4E37"/>
    <w:rsid w:val="000B6EEB"/>
    <w:rsid w:val="000B6F1F"/>
    <w:rsid w:val="000C0D93"/>
    <w:rsid w:val="000C1B56"/>
    <w:rsid w:val="000C20D3"/>
    <w:rsid w:val="000C31D1"/>
    <w:rsid w:val="000C5D58"/>
    <w:rsid w:val="000C6954"/>
    <w:rsid w:val="000C752A"/>
    <w:rsid w:val="000D1FD1"/>
    <w:rsid w:val="000D5B3C"/>
    <w:rsid w:val="000D7F76"/>
    <w:rsid w:val="000E32C7"/>
    <w:rsid w:val="000E562C"/>
    <w:rsid w:val="000E56C1"/>
    <w:rsid w:val="000E70F3"/>
    <w:rsid w:val="000F0D47"/>
    <w:rsid w:val="000F48F2"/>
    <w:rsid w:val="000F4D7D"/>
    <w:rsid w:val="00100B3D"/>
    <w:rsid w:val="00110743"/>
    <w:rsid w:val="00110F17"/>
    <w:rsid w:val="00113C40"/>
    <w:rsid w:val="00115089"/>
    <w:rsid w:val="001206E2"/>
    <w:rsid w:val="00120ADD"/>
    <w:rsid w:val="00120F81"/>
    <w:rsid w:val="00122BE5"/>
    <w:rsid w:val="00123D3F"/>
    <w:rsid w:val="0012494B"/>
    <w:rsid w:val="001249F2"/>
    <w:rsid w:val="0012758F"/>
    <w:rsid w:val="00132CC0"/>
    <w:rsid w:val="001333DD"/>
    <w:rsid w:val="0013412D"/>
    <w:rsid w:val="00142045"/>
    <w:rsid w:val="00142D5F"/>
    <w:rsid w:val="001460C8"/>
    <w:rsid w:val="00151CA4"/>
    <w:rsid w:val="001560F6"/>
    <w:rsid w:val="00157619"/>
    <w:rsid w:val="001664B8"/>
    <w:rsid w:val="00166BCD"/>
    <w:rsid w:val="00167BA1"/>
    <w:rsid w:val="00173B5F"/>
    <w:rsid w:val="0017404F"/>
    <w:rsid w:val="0017405F"/>
    <w:rsid w:val="00176E90"/>
    <w:rsid w:val="00182B97"/>
    <w:rsid w:val="00184B4B"/>
    <w:rsid w:val="00185B3D"/>
    <w:rsid w:val="00186C6B"/>
    <w:rsid w:val="00187518"/>
    <w:rsid w:val="0019260D"/>
    <w:rsid w:val="001926AC"/>
    <w:rsid w:val="00194743"/>
    <w:rsid w:val="00194D80"/>
    <w:rsid w:val="001A4DE5"/>
    <w:rsid w:val="001A7669"/>
    <w:rsid w:val="001B27FC"/>
    <w:rsid w:val="001B34EF"/>
    <w:rsid w:val="001B45A7"/>
    <w:rsid w:val="001B5055"/>
    <w:rsid w:val="001C087B"/>
    <w:rsid w:val="001C7C2A"/>
    <w:rsid w:val="001D31F5"/>
    <w:rsid w:val="001D39E5"/>
    <w:rsid w:val="001D45D9"/>
    <w:rsid w:val="001D4ABF"/>
    <w:rsid w:val="001D5581"/>
    <w:rsid w:val="001D58B7"/>
    <w:rsid w:val="001E0F20"/>
    <w:rsid w:val="001E1267"/>
    <w:rsid w:val="001E1E67"/>
    <w:rsid w:val="001E22A5"/>
    <w:rsid w:val="001E35AF"/>
    <w:rsid w:val="001E48FF"/>
    <w:rsid w:val="001E5549"/>
    <w:rsid w:val="001F1B29"/>
    <w:rsid w:val="001F4C2C"/>
    <w:rsid w:val="001F5A59"/>
    <w:rsid w:val="001F6137"/>
    <w:rsid w:val="001F72B2"/>
    <w:rsid w:val="0020222D"/>
    <w:rsid w:val="00205AC7"/>
    <w:rsid w:val="0021410D"/>
    <w:rsid w:val="00216806"/>
    <w:rsid w:val="00220426"/>
    <w:rsid w:val="00222A25"/>
    <w:rsid w:val="00223C77"/>
    <w:rsid w:val="00224A86"/>
    <w:rsid w:val="00230A4D"/>
    <w:rsid w:val="00234955"/>
    <w:rsid w:val="00241F3B"/>
    <w:rsid w:val="00243C26"/>
    <w:rsid w:val="0024769A"/>
    <w:rsid w:val="0025023D"/>
    <w:rsid w:val="002506C0"/>
    <w:rsid w:val="002512EA"/>
    <w:rsid w:val="00253B3A"/>
    <w:rsid w:val="00257439"/>
    <w:rsid w:val="002664DE"/>
    <w:rsid w:val="002703DC"/>
    <w:rsid w:val="002717D2"/>
    <w:rsid w:val="00271BCE"/>
    <w:rsid w:val="00273481"/>
    <w:rsid w:val="002776FF"/>
    <w:rsid w:val="00277A07"/>
    <w:rsid w:val="00294BFC"/>
    <w:rsid w:val="002969C0"/>
    <w:rsid w:val="00297C97"/>
    <w:rsid w:val="002A2662"/>
    <w:rsid w:val="002A4A35"/>
    <w:rsid w:val="002A691E"/>
    <w:rsid w:val="002A7548"/>
    <w:rsid w:val="002B0333"/>
    <w:rsid w:val="002B1563"/>
    <w:rsid w:val="002B1FC9"/>
    <w:rsid w:val="002B406D"/>
    <w:rsid w:val="002B58ED"/>
    <w:rsid w:val="002B7A92"/>
    <w:rsid w:val="002C24F6"/>
    <w:rsid w:val="002C3F23"/>
    <w:rsid w:val="002C5882"/>
    <w:rsid w:val="002C5BFE"/>
    <w:rsid w:val="002C7611"/>
    <w:rsid w:val="002D2FBA"/>
    <w:rsid w:val="002D4F65"/>
    <w:rsid w:val="002D5EB3"/>
    <w:rsid w:val="002D721B"/>
    <w:rsid w:val="002D760E"/>
    <w:rsid w:val="002D76CA"/>
    <w:rsid w:val="002E2FB4"/>
    <w:rsid w:val="002E5F6A"/>
    <w:rsid w:val="002E70F4"/>
    <w:rsid w:val="002E7626"/>
    <w:rsid w:val="002F0AB4"/>
    <w:rsid w:val="002F0EF8"/>
    <w:rsid w:val="002F69FB"/>
    <w:rsid w:val="00301A32"/>
    <w:rsid w:val="00302226"/>
    <w:rsid w:val="00305A98"/>
    <w:rsid w:val="0030727E"/>
    <w:rsid w:val="00311824"/>
    <w:rsid w:val="0031317D"/>
    <w:rsid w:val="0031341D"/>
    <w:rsid w:val="0031540E"/>
    <w:rsid w:val="00320A32"/>
    <w:rsid w:val="0032195B"/>
    <w:rsid w:val="0032239D"/>
    <w:rsid w:val="00323B32"/>
    <w:rsid w:val="003318AA"/>
    <w:rsid w:val="00332D38"/>
    <w:rsid w:val="00334A79"/>
    <w:rsid w:val="00343CDA"/>
    <w:rsid w:val="0034421F"/>
    <w:rsid w:val="003447D8"/>
    <w:rsid w:val="00345A79"/>
    <w:rsid w:val="0034625A"/>
    <w:rsid w:val="003505CB"/>
    <w:rsid w:val="00353C50"/>
    <w:rsid w:val="003618FC"/>
    <w:rsid w:val="0036746B"/>
    <w:rsid w:val="00376098"/>
    <w:rsid w:val="0037641A"/>
    <w:rsid w:val="003768CF"/>
    <w:rsid w:val="00377D62"/>
    <w:rsid w:val="003812A4"/>
    <w:rsid w:val="0038582E"/>
    <w:rsid w:val="00386844"/>
    <w:rsid w:val="00386DB1"/>
    <w:rsid w:val="00387E7F"/>
    <w:rsid w:val="003A007B"/>
    <w:rsid w:val="003A0B2B"/>
    <w:rsid w:val="003A77A6"/>
    <w:rsid w:val="003A78C2"/>
    <w:rsid w:val="003C3B64"/>
    <w:rsid w:val="003C4F6C"/>
    <w:rsid w:val="003C645E"/>
    <w:rsid w:val="003D2611"/>
    <w:rsid w:val="003D2E47"/>
    <w:rsid w:val="003D2EDB"/>
    <w:rsid w:val="003E0661"/>
    <w:rsid w:val="003E1B67"/>
    <w:rsid w:val="003E1FD5"/>
    <w:rsid w:val="003E26E3"/>
    <w:rsid w:val="003E33D3"/>
    <w:rsid w:val="003E4C10"/>
    <w:rsid w:val="003E57A4"/>
    <w:rsid w:val="003E60D7"/>
    <w:rsid w:val="003E6D03"/>
    <w:rsid w:val="003E7452"/>
    <w:rsid w:val="003F0171"/>
    <w:rsid w:val="003F41D5"/>
    <w:rsid w:val="003F586D"/>
    <w:rsid w:val="003F5AAF"/>
    <w:rsid w:val="003F7367"/>
    <w:rsid w:val="00401AD6"/>
    <w:rsid w:val="00402596"/>
    <w:rsid w:val="004046A7"/>
    <w:rsid w:val="00405FB4"/>
    <w:rsid w:val="00407B3A"/>
    <w:rsid w:val="00413E2B"/>
    <w:rsid w:val="004147B3"/>
    <w:rsid w:val="004150D3"/>
    <w:rsid w:val="00416ED2"/>
    <w:rsid w:val="004204EF"/>
    <w:rsid w:val="00421295"/>
    <w:rsid w:val="00423BB7"/>
    <w:rsid w:val="004245DB"/>
    <w:rsid w:val="004264C7"/>
    <w:rsid w:val="0042671F"/>
    <w:rsid w:val="004276CB"/>
    <w:rsid w:val="00431011"/>
    <w:rsid w:val="004352CB"/>
    <w:rsid w:val="00443B03"/>
    <w:rsid w:val="00444082"/>
    <w:rsid w:val="00445938"/>
    <w:rsid w:val="00445D71"/>
    <w:rsid w:val="004464D2"/>
    <w:rsid w:val="00457F79"/>
    <w:rsid w:val="00464BB9"/>
    <w:rsid w:val="00466454"/>
    <w:rsid w:val="00470E72"/>
    <w:rsid w:val="00471203"/>
    <w:rsid w:val="00473834"/>
    <w:rsid w:val="00476C9E"/>
    <w:rsid w:val="004855EF"/>
    <w:rsid w:val="004923D1"/>
    <w:rsid w:val="00492DD6"/>
    <w:rsid w:val="0049788B"/>
    <w:rsid w:val="00497C52"/>
    <w:rsid w:val="004A5296"/>
    <w:rsid w:val="004A5D54"/>
    <w:rsid w:val="004B219D"/>
    <w:rsid w:val="004B2E9A"/>
    <w:rsid w:val="004B7525"/>
    <w:rsid w:val="004C1046"/>
    <w:rsid w:val="004C162B"/>
    <w:rsid w:val="004C32F4"/>
    <w:rsid w:val="004C442F"/>
    <w:rsid w:val="004C6990"/>
    <w:rsid w:val="004D7656"/>
    <w:rsid w:val="004E2521"/>
    <w:rsid w:val="004E2C5F"/>
    <w:rsid w:val="004E4373"/>
    <w:rsid w:val="004F0ACE"/>
    <w:rsid w:val="004F4649"/>
    <w:rsid w:val="004F75D8"/>
    <w:rsid w:val="00500342"/>
    <w:rsid w:val="00503158"/>
    <w:rsid w:val="00503BD7"/>
    <w:rsid w:val="00505B20"/>
    <w:rsid w:val="00512F0C"/>
    <w:rsid w:val="00514AB9"/>
    <w:rsid w:val="00516F54"/>
    <w:rsid w:val="00525145"/>
    <w:rsid w:val="0052791D"/>
    <w:rsid w:val="00527B79"/>
    <w:rsid w:val="00531F1A"/>
    <w:rsid w:val="00535D45"/>
    <w:rsid w:val="00546655"/>
    <w:rsid w:val="0054758D"/>
    <w:rsid w:val="005568CB"/>
    <w:rsid w:val="005571DE"/>
    <w:rsid w:val="005601B1"/>
    <w:rsid w:val="00560D86"/>
    <w:rsid w:val="005611F6"/>
    <w:rsid w:val="0056185E"/>
    <w:rsid w:val="0056238A"/>
    <w:rsid w:val="005664F6"/>
    <w:rsid w:val="00573856"/>
    <w:rsid w:val="005740D5"/>
    <w:rsid w:val="005754FF"/>
    <w:rsid w:val="00577C8E"/>
    <w:rsid w:val="00580942"/>
    <w:rsid w:val="005848DD"/>
    <w:rsid w:val="0058490B"/>
    <w:rsid w:val="0058590F"/>
    <w:rsid w:val="00587395"/>
    <w:rsid w:val="005939DE"/>
    <w:rsid w:val="005A08A1"/>
    <w:rsid w:val="005A2475"/>
    <w:rsid w:val="005A28A8"/>
    <w:rsid w:val="005A41CC"/>
    <w:rsid w:val="005A4F6D"/>
    <w:rsid w:val="005A6731"/>
    <w:rsid w:val="005A6818"/>
    <w:rsid w:val="005A7D0A"/>
    <w:rsid w:val="005B1427"/>
    <w:rsid w:val="005B1822"/>
    <w:rsid w:val="005B60F0"/>
    <w:rsid w:val="005C07C8"/>
    <w:rsid w:val="005C23F5"/>
    <w:rsid w:val="005C2B8A"/>
    <w:rsid w:val="005C2FEF"/>
    <w:rsid w:val="005C5276"/>
    <w:rsid w:val="005C61BC"/>
    <w:rsid w:val="005C7D18"/>
    <w:rsid w:val="005D1386"/>
    <w:rsid w:val="005D1E7D"/>
    <w:rsid w:val="005D386D"/>
    <w:rsid w:val="005D60FA"/>
    <w:rsid w:val="005E0AE4"/>
    <w:rsid w:val="005E28B6"/>
    <w:rsid w:val="005E32B7"/>
    <w:rsid w:val="005E7A0F"/>
    <w:rsid w:val="005F314E"/>
    <w:rsid w:val="005F40F7"/>
    <w:rsid w:val="005F5F58"/>
    <w:rsid w:val="005F62D3"/>
    <w:rsid w:val="005F6A1E"/>
    <w:rsid w:val="005F7431"/>
    <w:rsid w:val="005F7C7A"/>
    <w:rsid w:val="00601427"/>
    <w:rsid w:val="00602D99"/>
    <w:rsid w:val="006109E5"/>
    <w:rsid w:val="00611A19"/>
    <w:rsid w:val="0061212A"/>
    <w:rsid w:val="00612BD2"/>
    <w:rsid w:val="0061360A"/>
    <w:rsid w:val="0061618B"/>
    <w:rsid w:val="00621F7B"/>
    <w:rsid w:val="00625E2D"/>
    <w:rsid w:val="0062622F"/>
    <w:rsid w:val="00627824"/>
    <w:rsid w:val="006309DC"/>
    <w:rsid w:val="00630AD2"/>
    <w:rsid w:val="0063378F"/>
    <w:rsid w:val="00636FB7"/>
    <w:rsid w:val="00650C59"/>
    <w:rsid w:val="00652812"/>
    <w:rsid w:val="006538EE"/>
    <w:rsid w:val="00654E24"/>
    <w:rsid w:val="00660FBB"/>
    <w:rsid w:val="00661593"/>
    <w:rsid w:val="00662559"/>
    <w:rsid w:val="00664A6C"/>
    <w:rsid w:val="0066647D"/>
    <w:rsid w:val="00666CBD"/>
    <w:rsid w:val="00667867"/>
    <w:rsid w:val="00671659"/>
    <w:rsid w:val="0067374E"/>
    <w:rsid w:val="0067447B"/>
    <w:rsid w:val="0067559D"/>
    <w:rsid w:val="00676778"/>
    <w:rsid w:val="006773C8"/>
    <w:rsid w:val="006806AA"/>
    <w:rsid w:val="006810B3"/>
    <w:rsid w:val="00681B53"/>
    <w:rsid w:val="00681CC8"/>
    <w:rsid w:val="006863ED"/>
    <w:rsid w:val="006879A4"/>
    <w:rsid w:val="0069094D"/>
    <w:rsid w:val="00690F08"/>
    <w:rsid w:val="00691C32"/>
    <w:rsid w:val="006943CF"/>
    <w:rsid w:val="006A7703"/>
    <w:rsid w:val="006A7903"/>
    <w:rsid w:val="006B206D"/>
    <w:rsid w:val="006B2AFC"/>
    <w:rsid w:val="006B4F7D"/>
    <w:rsid w:val="006B6178"/>
    <w:rsid w:val="006B7330"/>
    <w:rsid w:val="006B75F0"/>
    <w:rsid w:val="006C4BCC"/>
    <w:rsid w:val="006C54BC"/>
    <w:rsid w:val="006C6F97"/>
    <w:rsid w:val="006D2154"/>
    <w:rsid w:val="006D5C40"/>
    <w:rsid w:val="006D63CD"/>
    <w:rsid w:val="006E3324"/>
    <w:rsid w:val="006E58A8"/>
    <w:rsid w:val="006E730D"/>
    <w:rsid w:val="006E7E3A"/>
    <w:rsid w:val="006F0423"/>
    <w:rsid w:val="006F07A1"/>
    <w:rsid w:val="006F1BE8"/>
    <w:rsid w:val="006F1EB5"/>
    <w:rsid w:val="006F31EA"/>
    <w:rsid w:val="006F5E44"/>
    <w:rsid w:val="00700553"/>
    <w:rsid w:val="00700CF7"/>
    <w:rsid w:val="007035E8"/>
    <w:rsid w:val="00703E5C"/>
    <w:rsid w:val="00704F90"/>
    <w:rsid w:val="00711415"/>
    <w:rsid w:val="007129B9"/>
    <w:rsid w:val="00713C0F"/>
    <w:rsid w:val="0072170B"/>
    <w:rsid w:val="00723D5D"/>
    <w:rsid w:val="00725834"/>
    <w:rsid w:val="00727109"/>
    <w:rsid w:val="00727E24"/>
    <w:rsid w:val="00730AD7"/>
    <w:rsid w:val="00734AB2"/>
    <w:rsid w:val="00737912"/>
    <w:rsid w:val="00737AE1"/>
    <w:rsid w:val="0074388F"/>
    <w:rsid w:val="00743BE3"/>
    <w:rsid w:val="007476E2"/>
    <w:rsid w:val="00751B5D"/>
    <w:rsid w:val="00752426"/>
    <w:rsid w:val="00752F32"/>
    <w:rsid w:val="00754E1B"/>
    <w:rsid w:val="00757154"/>
    <w:rsid w:val="007625D6"/>
    <w:rsid w:val="007626CC"/>
    <w:rsid w:val="00763CF4"/>
    <w:rsid w:val="00765C29"/>
    <w:rsid w:val="007675EE"/>
    <w:rsid w:val="007702CB"/>
    <w:rsid w:val="00772E09"/>
    <w:rsid w:val="0077458B"/>
    <w:rsid w:val="00775A17"/>
    <w:rsid w:val="00777149"/>
    <w:rsid w:val="00781409"/>
    <w:rsid w:val="0078176F"/>
    <w:rsid w:val="00791C13"/>
    <w:rsid w:val="007A16F1"/>
    <w:rsid w:val="007A2160"/>
    <w:rsid w:val="007A4715"/>
    <w:rsid w:val="007A4E14"/>
    <w:rsid w:val="007A4E74"/>
    <w:rsid w:val="007A57F3"/>
    <w:rsid w:val="007B3E9B"/>
    <w:rsid w:val="007B6115"/>
    <w:rsid w:val="007B652F"/>
    <w:rsid w:val="007C2C0D"/>
    <w:rsid w:val="007C5ADC"/>
    <w:rsid w:val="007C5C00"/>
    <w:rsid w:val="007D2630"/>
    <w:rsid w:val="007D668A"/>
    <w:rsid w:val="007D6BB7"/>
    <w:rsid w:val="007E3DBE"/>
    <w:rsid w:val="007E3F3B"/>
    <w:rsid w:val="007E71CC"/>
    <w:rsid w:val="007F2A95"/>
    <w:rsid w:val="007F2D05"/>
    <w:rsid w:val="007F7106"/>
    <w:rsid w:val="00801E74"/>
    <w:rsid w:val="00802086"/>
    <w:rsid w:val="00810533"/>
    <w:rsid w:val="00821970"/>
    <w:rsid w:val="008222D8"/>
    <w:rsid w:val="00822AC8"/>
    <w:rsid w:val="008238E0"/>
    <w:rsid w:val="00823D16"/>
    <w:rsid w:val="008270EE"/>
    <w:rsid w:val="0083163A"/>
    <w:rsid w:val="008332E7"/>
    <w:rsid w:val="00834CDB"/>
    <w:rsid w:val="00834CF0"/>
    <w:rsid w:val="00836383"/>
    <w:rsid w:val="008367DB"/>
    <w:rsid w:val="00840376"/>
    <w:rsid w:val="00841C25"/>
    <w:rsid w:val="008430B8"/>
    <w:rsid w:val="00843D71"/>
    <w:rsid w:val="008449B1"/>
    <w:rsid w:val="00851754"/>
    <w:rsid w:val="00851EC1"/>
    <w:rsid w:val="008524AD"/>
    <w:rsid w:val="00856345"/>
    <w:rsid w:val="008627A6"/>
    <w:rsid w:val="00863EBB"/>
    <w:rsid w:val="008654CC"/>
    <w:rsid w:val="00865DBD"/>
    <w:rsid w:val="008679B0"/>
    <w:rsid w:val="00867B62"/>
    <w:rsid w:val="00867F1D"/>
    <w:rsid w:val="008734A1"/>
    <w:rsid w:val="008773DE"/>
    <w:rsid w:val="0088559D"/>
    <w:rsid w:val="00885DAF"/>
    <w:rsid w:val="00886BAB"/>
    <w:rsid w:val="008909F9"/>
    <w:rsid w:val="00891CE4"/>
    <w:rsid w:val="00891E88"/>
    <w:rsid w:val="00894B57"/>
    <w:rsid w:val="00894DD1"/>
    <w:rsid w:val="008966C7"/>
    <w:rsid w:val="008A1437"/>
    <w:rsid w:val="008A186E"/>
    <w:rsid w:val="008A319A"/>
    <w:rsid w:val="008B078B"/>
    <w:rsid w:val="008B4EA5"/>
    <w:rsid w:val="008B5401"/>
    <w:rsid w:val="008B7F67"/>
    <w:rsid w:val="008C0F3E"/>
    <w:rsid w:val="008C1D76"/>
    <w:rsid w:val="008C2725"/>
    <w:rsid w:val="008C3385"/>
    <w:rsid w:val="008C3526"/>
    <w:rsid w:val="008C3DE0"/>
    <w:rsid w:val="008C5F93"/>
    <w:rsid w:val="008D0FE1"/>
    <w:rsid w:val="008D343B"/>
    <w:rsid w:val="008D4B88"/>
    <w:rsid w:val="008D6EC3"/>
    <w:rsid w:val="008E2A64"/>
    <w:rsid w:val="008E3CDE"/>
    <w:rsid w:val="008E3F7C"/>
    <w:rsid w:val="008F01BF"/>
    <w:rsid w:val="008F19FB"/>
    <w:rsid w:val="008F2441"/>
    <w:rsid w:val="008F3402"/>
    <w:rsid w:val="008F34E9"/>
    <w:rsid w:val="008F4771"/>
    <w:rsid w:val="00900E72"/>
    <w:rsid w:val="00902524"/>
    <w:rsid w:val="00902852"/>
    <w:rsid w:val="00903B2B"/>
    <w:rsid w:val="0090493F"/>
    <w:rsid w:val="00905846"/>
    <w:rsid w:val="009062D7"/>
    <w:rsid w:val="009123F9"/>
    <w:rsid w:val="00915ACF"/>
    <w:rsid w:val="0092125F"/>
    <w:rsid w:val="00924C45"/>
    <w:rsid w:val="009256CE"/>
    <w:rsid w:val="009272D2"/>
    <w:rsid w:val="00930743"/>
    <w:rsid w:val="00932153"/>
    <w:rsid w:val="00933D7C"/>
    <w:rsid w:val="00934E26"/>
    <w:rsid w:val="009369F1"/>
    <w:rsid w:val="00937999"/>
    <w:rsid w:val="009412D4"/>
    <w:rsid w:val="00945C5D"/>
    <w:rsid w:val="00947AD3"/>
    <w:rsid w:val="00951FC2"/>
    <w:rsid w:val="0095256B"/>
    <w:rsid w:val="00960461"/>
    <w:rsid w:val="009640AF"/>
    <w:rsid w:val="009643D5"/>
    <w:rsid w:val="00964602"/>
    <w:rsid w:val="009752EB"/>
    <w:rsid w:val="00975D5B"/>
    <w:rsid w:val="00977D11"/>
    <w:rsid w:val="00977ECE"/>
    <w:rsid w:val="00981591"/>
    <w:rsid w:val="009856B7"/>
    <w:rsid w:val="0098779D"/>
    <w:rsid w:val="00990BB6"/>
    <w:rsid w:val="00991D19"/>
    <w:rsid w:val="0099238F"/>
    <w:rsid w:val="0099477E"/>
    <w:rsid w:val="00994E0C"/>
    <w:rsid w:val="009A11B6"/>
    <w:rsid w:val="009A4B58"/>
    <w:rsid w:val="009A7DE2"/>
    <w:rsid w:val="009B4B6D"/>
    <w:rsid w:val="009B4C0C"/>
    <w:rsid w:val="009C29F5"/>
    <w:rsid w:val="009C522F"/>
    <w:rsid w:val="009C5408"/>
    <w:rsid w:val="009E06B6"/>
    <w:rsid w:val="009E0E1C"/>
    <w:rsid w:val="009E51C5"/>
    <w:rsid w:val="009E58F4"/>
    <w:rsid w:val="009E7BDF"/>
    <w:rsid w:val="009F2947"/>
    <w:rsid w:val="009F3B88"/>
    <w:rsid w:val="009F5FF4"/>
    <w:rsid w:val="00A06F24"/>
    <w:rsid w:val="00A0705A"/>
    <w:rsid w:val="00A11DC6"/>
    <w:rsid w:val="00A12031"/>
    <w:rsid w:val="00A2010B"/>
    <w:rsid w:val="00A26C4F"/>
    <w:rsid w:val="00A274F2"/>
    <w:rsid w:val="00A302A2"/>
    <w:rsid w:val="00A4142A"/>
    <w:rsid w:val="00A429B2"/>
    <w:rsid w:val="00A46521"/>
    <w:rsid w:val="00A64AE9"/>
    <w:rsid w:val="00A64C28"/>
    <w:rsid w:val="00A65398"/>
    <w:rsid w:val="00A66005"/>
    <w:rsid w:val="00A73678"/>
    <w:rsid w:val="00A73E61"/>
    <w:rsid w:val="00A75046"/>
    <w:rsid w:val="00A83F9E"/>
    <w:rsid w:val="00A84E71"/>
    <w:rsid w:val="00A86B36"/>
    <w:rsid w:val="00A87234"/>
    <w:rsid w:val="00A9031E"/>
    <w:rsid w:val="00A90E32"/>
    <w:rsid w:val="00A913FC"/>
    <w:rsid w:val="00A95151"/>
    <w:rsid w:val="00A9523B"/>
    <w:rsid w:val="00A95746"/>
    <w:rsid w:val="00A9601C"/>
    <w:rsid w:val="00AA16DC"/>
    <w:rsid w:val="00AA1BD5"/>
    <w:rsid w:val="00AA1F65"/>
    <w:rsid w:val="00AA6EC1"/>
    <w:rsid w:val="00AA7A13"/>
    <w:rsid w:val="00AB15E2"/>
    <w:rsid w:val="00AB3B1D"/>
    <w:rsid w:val="00AC29E3"/>
    <w:rsid w:val="00AC49E8"/>
    <w:rsid w:val="00AC5D1E"/>
    <w:rsid w:val="00AD1430"/>
    <w:rsid w:val="00AD7D68"/>
    <w:rsid w:val="00AE06F9"/>
    <w:rsid w:val="00AE11B5"/>
    <w:rsid w:val="00AE279F"/>
    <w:rsid w:val="00AE31E5"/>
    <w:rsid w:val="00AE33C4"/>
    <w:rsid w:val="00AE3D16"/>
    <w:rsid w:val="00AE52C9"/>
    <w:rsid w:val="00AF1AEA"/>
    <w:rsid w:val="00AF26B4"/>
    <w:rsid w:val="00AF4816"/>
    <w:rsid w:val="00AF7DE0"/>
    <w:rsid w:val="00B027E5"/>
    <w:rsid w:val="00B0491E"/>
    <w:rsid w:val="00B04B43"/>
    <w:rsid w:val="00B05BF3"/>
    <w:rsid w:val="00B06F48"/>
    <w:rsid w:val="00B16A35"/>
    <w:rsid w:val="00B22235"/>
    <w:rsid w:val="00B2245A"/>
    <w:rsid w:val="00B241F1"/>
    <w:rsid w:val="00B24CC4"/>
    <w:rsid w:val="00B304FD"/>
    <w:rsid w:val="00B3117C"/>
    <w:rsid w:val="00B344AD"/>
    <w:rsid w:val="00B34800"/>
    <w:rsid w:val="00B41CC7"/>
    <w:rsid w:val="00B42484"/>
    <w:rsid w:val="00B4323E"/>
    <w:rsid w:val="00B44A9F"/>
    <w:rsid w:val="00B4574C"/>
    <w:rsid w:val="00B504CC"/>
    <w:rsid w:val="00B51082"/>
    <w:rsid w:val="00B546E2"/>
    <w:rsid w:val="00B566AB"/>
    <w:rsid w:val="00B56A35"/>
    <w:rsid w:val="00B62615"/>
    <w:rsid w:val="00B63FE3"/>
    <w:rsid w:val="00B66814"/>
    <w:rsid w:val="00B707DA"/>
    <w:rsid w:val="00B7271A"/>
    <w:rsid w:val="00B753C3"/>
    <w:rsid w:val="00B81A55"/>
    <w:rsid w:val="00B8208C"/>
    <w:rsid w:val="00B82975"/>
    <w:rsid w:val="00B82AA1"/>
    <w:rsid w:val="00B83685"/>
    <w:rsid w:val="00B86B29"/>
    <w:rsid w:val="00B91806"/>
    <w:rsid w:val="00B9343D"/>
    <w:rsid w:val="00BA447C"/>
    <w:rsid w:val="00BA599F"/>
    <w:rsid w:val="00BA7044"/>
    <w:rsid w:val="00BA7904"/>
    <w:rsid w:val="00BB09B2"/>
    <w:rsid w:val="00BB6275"/>
    <w:rsid w:val="00BB75A4"/>
    <w:rsid w:val="00BB774A"/>
    <w:rsid w:val="00BC004F"/>
    <w:rsid w:val="00BC19C9"/>
    <w:rsid w:val="00BC41E1"/>
    <w:rsid w:val="00BC49E8"/>
    <w:rsid w:val="00BC6734"/>
    <w:rsid w:val="00BC7CAA"/>
    <w:rsid w:val="00BD1627"/>
    <w:rsid w:val="00BD6075"/>
    <w:rsid w:val="00BE2643"/>
    <w:rsid w:val="00BE3698"/>
    <w:rsid w:val="00BE3F8A"/>
    <w:rsid w:val="00BE4378"/>
    <w:rsid w:val="00BF1E41"/>
    <w:rsid w:val="00BF7658"/>
    <w:rsid w:val="00C02FC7"/>
    <w:rsid w:val="00C03C60"/>
    <w:rsid w:val="00C06D9D"/>
    <w:rsid w:val="00C10567"/>
    <w:rsid w:val="00C10B0B"/>
    <w:rsid w:val="00C12254"/>
    <w:rsid w:val="00C13F8D"/>
    <w:rsid w:val="00C1624A"/>
    <w:rsid w:val="00C16340"/>
    <w:rsid w:val="00C17819"/>
    <w:rsid w:val="00C17880"/>
    <w:rsid w:val="00C17F38"/>
    <w:rsid w:val="00C23BD5"/>
    <w:rsid w:val="00C24BF6"/>
    <w:rsid w:val="00C31078"/>
    <w:rsid w:val="00C3278B"/>
    <w:rsid w:val="00C32C2C"/>
    <w:rsid w:val="00C330D8"/>
    <w:rsid w:val="00C34978"/>
    <w:rsid w:val="00C35B13"/>
    <w:rsid w:val="00C47C82"/>
    <w:rsid w:val="00C50C5E"/>
    <w:rsid w:val="00C521FC"/>
    <w:rsid w:val="00C52CA0"/>
    <w:rsid w:val="00C5464A"/>
    <w:rsid w:val="00C64325"/>
    <w:rsid w:val="00C659A3"/>
    <w:rsid w:val="00C66B6C"/>
    <w:rsid w:val="00C723E9"/>
    <w:rsid w:val="00C779FE"/>
    <w:rsid w:val="00C84905"/>
    <w:rsid w:val="00C867E0"/>
    <w:rsid w:val="00C93518"/>
    <w:rsid w:val="00C9374D"/>
    <w:rsid w:val="00C95A28"/>
    <w:rsid w:val="00C978E2"/>
    <w:rsid w:val="00C97B1C"/>
    <w:rsid w:val="00C97EDA"/>
    <w:rsid w:val="00CA3398"/>
    <w:rsid w:val="00CA3752"/>
    <w:rsid w:val="00CA7CF1"/>
    <w:rsid w:val="00CB00C2"/>
    <w:rsid w:val="00CB015F"/>
    <w:rsid w:val="00CB2AA1"/>
    <w:rsid w:val="00CB3ED3"/>
    <w:rsid w:val="00CB48F2"/>
    <w:rsid w:val="00CB7E1B"/>
    <w:rsid w:val="00CC1FF3"/>
    <w:rsid w:val="00CC5341"/>
    <w:rsid w:val="00CC72AD"/>
    <w:rsid w:val="00CC7481"/>
    <w:rsid w:val="00CD298B"/>
    <w:rsid w:val="00CD347C"/>
    <w:rsid w:val="00CD3A3F"/>
    <w:rsid w:val="00CD4D4E"/>
    <w:rsid w:val="00CD6D9C"/>
    <w:rsid w:val="00CD7BF0"/>
    <w:rsid w:val="00CE0434"/>
    <w:rsid w:val="00CE355C"/>
    <w:rsid w:val="00CE47E4"/>
    <w:rsid w:val="00CE4D03"/>
    <w:rsid w:val="00CF0D71"/>
    <w:rsid w:val="00CF1D7F"/>
    <w:rsid w:val="00CF2651"/>
    <w:rsid w:val="00CF3449"/>
    <w:rsid w:val="00CF58EF"/>
    <w:rsid w:val="00CF6750"/>
    <w:rsid w:val="00CF7076"/>
    <w:rsid w:val="00D00172"/>
    <w:rsid w:val="00D006A2"/>
    <w:rsid w:val="00D026A9"/>
    <w:rsid w:val="00D034B7"/>
    <w:rsid w:val="00D037BE"/>
    <w:rsid w:val="00D04D8A"/>
    <w:rsid w:val="00D1078F"/>
    <w:rsid w:val="00D13D8F"/>
    <w:rsid w:val="00D149EE"/>
    <w:rsid w:val="00D15ED2"/>
    <w:rsid w:val="00D20257"/>
    <w:rsid w:val="00D224BB"/>
    <w:rsid w:val="00D24552"/>
    <w:rsid w:val="00D248F5"/>
    <w:rsid w:val="00D30043"/>
    <w:rsid w:val="00D30FCE"/>
    <w:rsid w:val="00D33B70"/>
    <w:rsid w:val="00D33DD4"/>
    <w:rsid w:val="00D35009"/>
    <w:rsid w:val="00D40D5E"/>
    <w:rsid w:val="00D443C4"/>
    <w:rsid w:val="00D468D4"/>
    <w:rsid w:val="00D47DE5"/>
    <w:rsid w:val="00D515B5"/>
    <w:rsid w:val="00D5566E"/>
    <w:rsid w:val="00D56189"/>
    <w:rsid w:val="00D56A64"/>
    <w:rsid w:val="00D57F3C"/>
    <w:rsid w:val="00D64D71"/>
    <w:rsid w:val="00D64F5E"/>
    <w:rsid w:val="00D66AA7"/>
    <w:rsid w:val="00D702DD"/>
    <w:rsid w:val="00D70B4B"/>
    <w:rsid w:val="00D759B9"/>
    <w:rsid w:val="00D80358"/>
    <w:rsid w:val="00D81BDC"/>
    <w:rsid w:val="00D93005"/>
    <w:rsid w:val="00D93C69"/>
    <w:rsid w:val="00D94861"/>
    <w:rsid w:val="00D94EFC"/>
    <w:rsid w:val="00D95E55"/>
    <w:rsid w:val="00DA1511"/>
    <w:rsid w:val="00DA155F"/>
    <w:rsid w:val="00DA2F8C"/>
    <w:rsid w:val="00DA41DE"/>
    <w:rsid w:val="00DA5C16"/>
    <w:rsid w:val="00DB037A"/>
    <w:rsid w:val="00DB10C5"/>
    <w:rsid w:val="00DB2267"/>
    <w:rsid w:val="00DB5E45"/>
    <w:rsid w:val="00DB6DB4"/>
    <w:rsid w:val="00DC1AA6"/>
    <w:rsid w:val="00DC27AF"/>
    <w:rsid w:val="00DD0EEC"/>
    <w:rsid w:val="00DD1D5D"/>
    <w:rsid w:val="00DD2013"/>
    <w:rsid w:val="00DD2D77"/>
    <w:rsid w:val="00DD5A31"/>
    <w:rsid w:val="00DE2C35"/>
    <w:rsid w:val="00DE3284"/>
    <w:rsid w:val="00DE5338"/>
    <w:rsid w:val="00DE5802"/>
    <w:rsid w:val="00DF0695"/>
    <w:rsid w:val="00DF0BDA"/>
    <w:rsid w:val="00DF115B"/>
    <w:rsid w:val="00DF1562"/>
    <w:rsid w:val="00DF5295"/>
    <w:rsid w:val="00DF7F4F"/>
    <w:rsid w:val="00E0091F"/>
    <w:rsid w:val="00E036F8"/>
    <w:rsid w:val="00E069BA"/>
    <w:rsid w:val="00E07419"/>
    <w:rsid w:val="00E14DA4"/>
    <w:rsid w:val="00E157DC"/>
    <w:rsid w:val="00E1670B"/>
    <w:rsid w:val="00E20679"/>
    <w:rsid w:val="00E22F26"/>
    <w:rsid w:val="00E345FB"/>
    <w:rsid w:val="00E370E4"/>
    <w:rsid w:val="00E377B7"/>
    <w:rsid w:val="00E411F9"/>
    <w:rsid w:val="00E42C50"/>
    <w:rsid w:val="00E42D44"/>
    <w:rsid w:val="00E50439"/>
    <w:rsid w:val="00E54EC3"/>
    <w:rsid w:val="00E629C1"/>
    <w:rsid w:val="00E62A2B"/>
    <w:rsid w:val="00E648DA"/>
    <w:rsid w:val="00E66BB1"/>
    <w:rsid w:val="00E66F9E"/>
    <w:rsid w:val="00E6736E"/>
    <w:rsid w:val="00E67D5A"/>
    <w:rsid w:val="00E756A5"/>
    <w:rsid w:val="00E765D0"/>
    <w:rsid w:val="00E76DD4"/>
    <w:rsid w:val="00E8113F"/>
    <w:rsid w:val="00E83FF3"/>
    <w:rsid w:val="00E85C98"/>
    <w:rsid w:val="00E87D37"/>
    <w:rsid w:val="00E9081C"/>
    <w:rsid w:val="00E90D61"/>
    <w:rsid w:val="00E94863"/>
    <w:rsid w:val="00E95881"/>
    <w:rsid w:val="00E95D51"/>
    <w:rsid w:val="00E96E22"/>
    <w:rsid w:val="00EA14EE"/>
    <w:rsid w:val="00EA28EB"/>
    <w:rsid w:val="00EA73F8"/>
    <w:rsid w:val="00EB1E23"/>
    <w:rsid w:val="00EB20C1"/>
    <w:rsid w:val="00EB3806"/>
    <w:rsid w:val="00EB476C"/>
    <w:rsid w:val="00EB4B33"/>
    <w:rsid w:val="00EC4DC0"/>
    <w:rsid w:val="00EC6911"/>
    <w:rsid w:val="00EC7910"/>
    <w:rsid w:val="00ED6A22"/>
    <w:rsid w:val="00ED6CA2"/>
    <w:rsid w:val="00ED78D3"/>
    <w:rsid w:val="00EE102D"/>
    <w:rsid w:val="00EE330B"/>
    <w:rsid w:val="00EE36F9"/>
    <w:rsid w:val="00EF3928"/>
    <w:rsid w:val="00EF51BD"/>
    <w:rsid w:val="00F00E34"/>
    <w:rsid w:val="00F00E3C"/>
    <w:rsid w:val="00F01820"/>
    <w:rsid w:val="00F01861"/>
    <w:rsid w:val="00F0577B"/>
    <w:rsid w:val="00F05C9D"/>
    <w:rsid w:val="00F067FE"/>
    <w:rsid w:val="00F103F5"/>
    <w:rsid w:val="00F12E60"/>
    <w:rsid w:val="00F160AC"/>
    <w:rsid w:val="00F16D41"/>
    <w:rsid w:val="00F175C5"/>
    <w:rsid w:val="00F2229C"/>
    <w:rsid w:val="00F238C7"/>
    <w:rsid w:val="00F275F0"/>
    <w:rsid w:val="00F3003D"/>
    <w:rsid w:val="00F31FD0"/>
    <w:rsid w:val="00F328A4"/>
    <w:rsid w:val="00F4201F"/>
    <w:rsid w:val="00F4483B"/>
    <w:rsid w:val="00F44A5B"/>
    <w:rsid w:val="00F45E13"/>
    <w:rsid w:val="00F50663"/>
    <w:rsid w:val="00F55669"/>
    <w:rsid w:val="00F62263"/>
    <w:rsid w:val="00F651C7"/>
    <w:rsid w:val="00F65566"/>
    <w:rsid w:val="00F65C3F"/>
    <w:rsid w:val="00F67101"/>
    <w:rsid w:val="00F75E8E"/>
    <w:rsid w:val="00F7786E"/>
    <w:rsid w:val="00F817F9"/>
    <w:rsid w:val="00F82DF3"/>
    <w:rsid w:val="00F8425B"/>
    <w:rsid w:val="00F85CFD"/>
    <w:rsid w:val="00F86138"/>
    <w:rsid w:val="00F86722"/>
    <w:rsid w:val="00F86FF9"/>
    <w:rsid w:val="00F87F4A"/>
    <w:rsid w:val="00F916B2"/>
    <w:rsid w:val="00F91B06"/>
    <w:rsid w:val="00F921AC"/>
    <w:rsid w:val="00F9540D"/>
    <w:rsid w:val="00F95A5C"/>
    <w:rsid w:val="00F9708B"/>
    <w:rsid w:val="00FA77AC"/>
    <w:rsid w:val="00FB1B96"/>
    <w:rsid w:val="00FB1BB5"/>
    <w:rsid w:val="00FB3C9C"/>
    <w:rsid w:val="00FB48E9"/>
    <w:rsid w:val="00FB4C6C"/>
    <w:rsid w:val="00FC03E2"/>
    <w:rsid w:val="00FC1304"/>
    <w:rsid w:val="00FC406A"/>
    <w:rsid w:val="00FC5A3C"/>
    <w:rsid w:val="00FC7DF6"/>
    <w:rsid w:val="00FD0382"/>
    <w:rsid w:val="00FD4B44"/>
    <w:rsid w:val="00FE4255"/>
    <w:rsid w:val="00FE5017"/>
    <w:rsid w:val="00FE5FF8"/>
    <w:rsid w:val="00FF1960"/>
    <w:rsid w:val="00FF1FD2"/>
    <w:rsid w:val="00FF2B31"/>
    <w:rsid w:val="00FF33DE"/>
    <w:rsid w:val="42A922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rules v:ext="edit">
        <o:r id="V:Rule2" type="connector" idref="#AutoShape 40"/>
        <o:r id="V:Rule3" type="connector" idref="#AutoShape 40"/>
        <o:r id="V:Rule4" type="connector" idref="#AutoShape 40"/>
        <o:r id="V:Rule5" type="connector" idref="#AutoShape 40"/>
        <o:r id="V:Rule6" type="connector" idref="#AutoShape 40"/>
        <o:r id="V:Rule13" type="connector" idref="#Straight Arrow Connector 20"/>
        <o:r id="V:Rule16" type="connector" idref="#AutoShape 40"/>
        <o:r id="V:Rule17" type="connector" idref="#Straight Arrow Connector 21"/>
        <o:r id="V:Rule18" type="connector" idref="#Straight Arrow Connector 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MY"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58B"/>
    <w:rPr>
      <w:sz w:val="24"/>
      <w:szCs w:val="24"/>
      <w:lang w:val="en-US" w:eastAsia="ko-KR"/>
    </w:rPr>
  </w:style>
  <w:style w:type="paragraph" w:styleId="Heading1">
    <w:name w:val="heading 1"/>
    <w:basedOn w:val="Normal"/>
    <w:next w:val="Normal"/>
    <w:qFormat/>
    <w:rsid w:val="00CC5341"/>
    <w:pPr>
      <w:keepNext/>
      <w:spacing w:line="480" w:lineRule="auto"/>
      <w:jc w:val="center"/>
      <w:outlineLvl w:val="0"/>
    </w:pPr>
    <w:rPr>
      <w:rFonts w:cs="Arial"/>
      <w:b/>
      <w:bCs/>
      <w:kern w:val="32"/>
      <w:sz w:val="32"/>
      <w:szCs w:val="32"/>
    </w:rPr>
  </w:style>
  <w:style w:type="paragraph" w:styleId="Heading2">
    <w:name w:val="heading 2"/>
    <w:basedOn w:val="Normal"/>
    <w:next w:val="Normal"/>
    <w:qFormat/>
    <w:rsid w:val="00CC5341"/>
    <w:pPr>
      <w:keepNext/>
      <w:spacing w:before="240" w:after="60"/>
      <w:outlineLvl w:val="1"/>
    </w:pPr>
    <w:rPr>
      <w:rFonts w:cs="Arial"/>
      <w:b/>
      <w:bCs/>
      <w:iCs/>
      <w:sz w:val="28"/>
      <w:szCs w:val="28"/>
    </w:rPr>
  </w:style>
  <w:style w:type="paragraph" w:styleId="Heading3">
    <w:name w:val="heading 3"/>
    <w:basedOn w:val="Normal"/>
    <w:next w:val="Normal"/>
    <w:qFormat/>
    <w:rsid w:val="00CC5341"/>
    <w:pPr>
      <w:keepNext/>
      <w:spacing w:before="240" w:after="60"/>
      <w:outlineLvl w:val="2"/>
    </w:pPr>
    <w:rPr>
      <w:rFonts w:cs="Arial"/>
      <w:b/>
      <w:bCs/>
      <w:szCs w:val="26"/>
    </w:rPr>
  </w:style>
  <w:style w:type="paragraph" w:styleId="Heading4">
    <w:name w:val="heading 4"/>
    <w:basedOn w:val="Normal"/>
    <w:next w:val="Normal"/>
    <w:qFormat/>
    <w:rsid w:val="00CC5341"/>
    <w:pPr>
      <w:keepNext/>
      <w:autoSpaceDE w:val="0"/>
      <w:autoSpaceDN w:val="0"/>
      <w:adjustRightInd w:val="0"/>
      <w:jc w:val="center"/>
      <w:outlineLvl w:val="3"/>
    </w:pPr>
    <w:rPr>
      <w:rFonts w:eastAsia="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C5341"/>
    <w:pPr>
      <w:spacing w:before="240"/>
      <w:jc w:val="both"/>
    </w:pPr>
    <w:rPr>
      <w:rFonts w:eastAsia="Times New Roman"/>
      <w:szCs w:val="20"/>
      <w:lang w:eastAsia="el-GR"/>
    </w:rPr>
  </w:style>
  <w:style w:type="paragraph" w:styleId="EndnoteText">
    <w:name w:val="endnote text"/>
    <w:basedOn w:val="Normal"/>
    <w:semiHidden/>
    <w:rsid w:val="00CC5341"/>
    <w:pPr>
      <w:spacing w:before="240"/>
      <w:jc w:val="both"/>
    </w:pPr>
    <w:rPr>
      <w:rFonts w:ascii="Arial" w:eastAsia="Times New Roman" w:hAnsi="Arial"/>
      <w:szCs w:val="20"/>
      <w:lang w:val="en-GB" w:eastAsia="el-GR"/>
    </w:rPr>
  </w:style>
  <w:style w:type="paragraph" w:styleId="BodyTextIndent2">
    <w:name w:val="Body Text Indent 2"/>
    <w:basedOn w:val="Normal"/>
    <w:semiHidden/>
    <w:rsid w:val="00CC5341"/>
    <w:pPr>
      <w:tabs>
        <w:tab w:val="right" w:pos="4678"/>
      </w:tabs>
      <w:spacing w:line="252" w:lineRule="auto"/>
      <w:ind w:firstLine="284"/>
      <w:jc w:val="both"/>
    </w:pPr>
    <w:rPr>
      <w:rFonts w:eastAsia="Times New Roman"/>
      <w:sz w:val="22"/>
      <w:szCs w:val="20"/>
      <w:lang w:val="en-GB" w:eastAsia="el-GR"/>
    </w:rPr>
  </w:style>
  <w:style w:type="paragraph" w:customStyle="1" w:styleId="PARAGRAPH">
    <w:name w:val="PARAGRAPH"/>
    <w:basedOn w:val="Normal"/>
    <w:rsid w:val="00CC5341"/>
    <w:pPr>
      <w:widowControl w:val="0"/>
      <w:spacing w:line="230" w:lineRule="exact"/>
      <w:ind w:firstLine="240"/>
      <w:jc w:val="both"/>
    </w:pPr>
    <w:rPr>
      <w:rFonts w:ascii="Palatino" w:eastAsia="Times New Roman" w:hAnsi="Palatino"/>
      <w:kern w:val="16"/>
      <w:sz w:val="19"/>
      <w:szCs w:val="20"/>
      <w:lang w:eastAsia="en-US"/>
    </w:rPr>
  </w:style>
  <w:style w:type="paragraph" w:customStyle="1" w:styleId="IJOPCMTitle">
    <w:name w:val="IJOPCM Title"/>
    <w:basedOn w:val="Heading1"/>
    <w:rsid w:val="00CC5341"/>
    <w:pPr>
      <w:spacing w:after="240" w:line="520" w:lineRule="exact"/>
    </w:pPr>
    <w:rPr>
      <w:sz w:val="40"/>
    </w:rPr>
  </w:style>
  <w:style w:type="paragraph" w:customStyle="1" w:styleId="IJOPCMAuthors">
    <w:name w:val="IJOPCM Authors"/>
    <w:basedOn w:val="Normal"/>
    <w:rsid w:val="00CC5341"/>
    <w:pPr>
      <w:spacing w:line="360" w:lineRule="exact"/>
      <w:jc w:val="center"/>
    </w:pPr>
    <w:rPr>
      <w:b/>
      <w:bCs/>
    </w:rPr>
  </w:style>
  <w:style w:type="paragraph" w:customStyle="1" w:styleId="IJOPCMAbstract">
    <w:name w:val="IJOPCM Abstract"/>
    <w:basedOn w:val="Normal"/>
    <w:rsid w:val="00CC5341"/>
    <w:pPr>
      <w:autoSpaceDE w:val="0"/>
      <w:autoSpaceDN w:val="0"/>
      <w:adjustRightInd w:val="0"/>
      <w:spacing w:before="240" w:after="240" w:line="240" w:lineRule="exact"/>
      <w:jc w:val="both"/>
    </w:pPr>
    <w:rPr>
      <w:b/>
      <w:bCs/>
      <w:i/>
      <w:iCs/>
      <w:szCs w:val="20"/>
    </w:rPr>
  </w:style>
  <w:style w:type="paragraph" w:customStyle="1" w:styleId="IJOPCMBody">
    <w:name w:val="IJOPCM Body"/>
    <w:basedOn w:val="Normal"/>
    <w:rsid w:val="00CC5341"/>
    <w:pPr>
      <w:spacing w:before="120" w:after="120"/>
      <w:jc w:val="both"/>
    </w:pPr>
    <w:rPr>
      <w:lang w:bidi="ar-JO"/>
    </w:rPr>
  </w:style>
  <w:style w:type="paragraph" w:customStyle="1" w:styleId="IJOPCMH1">
    <w:name w:val="IJOPCM H1"/>
    <w:basedOn w:val="Heading1"/>
    <w:rsid w:val="00CC5341"/>
    <w:pPr>
      <w:spacing w:before="240" w:after="240" w:line="320" w:lineRule="exact"/>
      <w:jc w:val="left"/>
    </w:pPr>
    <w:rPr>
      <w:sz w:val="28"/>
    </w:rPr>
  </w:style>
  <w:style w:type="paragraph" w:customStyle="1" w:styleId="IJOPCMH2">
    <w:name w:val="IJOPCM H2"/>
    <w:basedOn w:val="Heading2"/>
    <w:rsid w:val="00CC5341"/>
    <w:pPr>
      <w:spacing w:after="240" w:line="280" w:lineRule="exact"/>
    </w:pPr>
    <w:rPr>
      <w:sz w:val="24"/>
    </w:rPr>
  </w:style>
  <w:style w:type="paragraph" w:customStyle="1" w:styleId="IJOPCMH3">
    <w:name w:val="IJOPCM H3"/>
    <w:basedOn w:val="Heading3"/>
    <w:rsid w:val="00CC5341"/>
    <w:pPr>
      <w:spacing w:after="240" w:line="240" w:lineRule="exact"/>
    </w:pPr>
  </w:style>
  <w:style w:type="paragraph" w:customStyle="1" w:styleId="IJOPCMRef">
    <w:name w:val="IJOPCM Ref"/>
    <w:basedOn w:val="Normal"/>
    <w:rsid w:val="00CC5341"/>
    <w:pPr>
      <w:spacing w:after="120"/>
      <w:ind w:left="357" w:hanging="357"/>
      <w:jc w:val="both"/>
    </w:pPr>
  </w:style>
  <w:style w:type="paragraph" w:customStyle="1" w:styleId="IJOPCMKeywards">
    <w:name w:val="IJOPCM Keywards"/>
    <w:basedOn w:val="Normal"/>
    <w:rsid w:val="00CC5341"/>
    <w:pPr>
      <w:spacing w:after="240" w:line="240" w:lineRule="exact"/>
    </w:pPr>
    <w:rPr>
      <w:i/>
    </w:rPr>
  </w:style>
  <w:style w:type="paragraph" w:customStyle="1" w:styleId="IJOPCMFigure">
    <w:name w:val="IJOPCM Figure"/>
    <w:basedOn w:val="Normal"/>
    <w:rsid w:val="00CC5341"/>
    <w:pPr>
      <w:jc w:val="center"/>
    </w:pPr>
  </w:style>
  <w:style w:type="paragraph" w:customStyle="1" w:styleId="IJOPCMTable">
    <w:name w:val="IJOPCM Table"/>
    <w:basedOn w:val="Normal"/>
    <w:rsid w:val="00CC5341"/>
    <w:pPr>
      <w:jc w:val="center"/>
    </w:pPr>
  </w:style>
  <w:style w:type="paragraph" w:customStyle="1" w:styleId="PARAGRAPHnoindent">
    <w:name w:val="PARAGRAPH (no indent)"/>
    <w:basedOn w:val="PARAGRAPH"/>
    <w:next w:val="PARAGRAPH"/>
    <w:rsid w:val="00CC5341"/>
    <w:pPr>
      <w:ind w:firstLine="0"/>
    </w:pPr>
  </w:style>
  <w:style w:type="character" w:customStyle="1" w:styleId="Url">
    <w:name w:val="Url"/>
    <w:rsid w:val="00CC5341"/>
    <w:rPr>
      <w:rFonts w:ascii="Helvetica Condensed" w:hAnsi="Helvetica Condensed"/>
      <w:color w:val="008000"/>
      <w:sz w:val="18"/>
    </w:rPr>
  </w:style>
  <w:style w:type="paragraph" w:customStyle="1" w:styleId="Equation">
    <w:name w:val="Equation"/>
    <w:basedOn w:val="Normal"/>
    <w:next w:val="Normal"/>
    <w:rsid w:val="00CC5341"/>
    <w:pPr>
      <w:widowControl w:val="0"/>
      <w:tabs>
        <w:tab w:val="right" w:pos="5040"/>
      </w:tabs>
      <w:autoSpaceDE w:val="0"/>
      <w:autoSpaceDN w:val="0"/>
      <w:spacing w:line="252" w:lineRule="auto"/>
      <w:jc w:val="both"/>
    </w:pPr>
    <w:rPr>
      <w:rFonts w:eastAsia="Times New Roman"/>
      <w:sz w:val="20"/>
      <w:szCs w:val="20"/>
      <w:lang w:eastAsia="en-US"/>
    </w:rPr>
  </w:style>
  <w:style w:type="paragraph" w:styleId="Header">
    <w:name w:val="header"/>
    <w:basedOn w:val="Normal"/>
    <w:link w:val="HeaderChar"/>
    <w:uiPriority w:val="99"/>
    <w:rsid w:val="00CC5341"/>
    <w:pPr>
      <w:tabs>
        <w:tab w:val="center" w:pos="4320"/>
        <w:tab w:val="right" w:pos="8640"/>
      </w:tabs>
    </w:pPr>
  </w:style>
  <w:style w:type="paragraph" w:customStyle="1" w:styleId="IJOPCMEqu">
    <w:name w:val="IJOPCM Equ"/>
    <w:basedOn w:val="Normal"/>
    <w:rsid w:val="00CC5341"/>
    <w:pPr>
      <w:jc w:val="right"/>
    </w:pPr>
  </w:style>
  <w:style w:type="character" w:styleId="PageNumber">
    <w:name w:val="page number"/>
    <w:basedOn w:val="DefaultParagraphFont"/>
    <w:semiHidden/>
    <w:rsid w:val="00CC5341"/>
  </w:style>
  <w:style w:type="paragraph" w:styleId="Footer">
    <w:name w:val="footer"/>
    <w:basedOn w:val="Normal"/>
    <w:link w:val="FooterChar"/>
    <w:uiPriority w:val="99"/>
    <w:rsid w:val="00CC5341"/>
    <w:pPr>
      <w:tabs>
        <w:tab w:val="center" w:pos="4320"/>
        <w:tab w:val="right" w:pos="8640"/>
      </w:tabs>
    </w:pPr>
  </w:style>
  <w:style w:type="paragraph" w:styleId="ListParagraph">
    <w:name w:val="List Paragraph"/>
    <w:basedOn w:val="Normal"/>
    <w:uiPriority w:val="34"/>
    <w:qFormat/>
    <w:rsid w:val="005B60F0"/>
    <w:pPr>
      <w:ind w:left="720"/>
      <w:contextualSpacing/>
    </w:pPr>
  </w:style>
  <w:style w:type="character" w:customStyle="1" w:styleId="HeaderChar">
    <w:name w:val="Header Char"/>
    <w:link w:val="Header"/>
    <w:uiPriority w:val="99"/>
    <w:rsid w:val="009856B7"/>
    <w:rPr>
      <w:sz w:val="24"/>
      <w:szCs w:val="24"/>
      <w:lang w:eastAsia="ko-KR"/>
    </w:rPr>
  </w:style>
  <w:style w:type="character" w:customStyle="1" w:styleId="FooterChar">
    <w:name w:val="Footer Char"/>
    <w:link w:val="Footer"/>
    <w:uiPriority w:val="99"/>
    <w:rsid w:val="007C5ADC"/>
    <w:rPr>
      <w:sz w:val="24"/>
      <w:szCs w:val="24"/>
      <w:lang w:eastAsia="ko-KR"/>
    </w:rPr>
  </w:style>
  <w:style w:type="character" w:customStyle="1" w:styleId="BodyTextChar">
    <w:name w:val="Body Text Char"/>
    <w:link w:val="BodyText"/>
    <w:rsid w:val="00B82975"/>
    <w:rPr>
      <w:rFonts w:eastAsia="Times New Roman"/>
      <w:sz w:val="24"/>
      <w:lang w:eastAsia="el-GR"/>
    </w:rPr>
  </w:style>
  <w:style w:type="character" w:styleId="Hyperlink">
    <w:name w:val="Hyperlink"/>
    <w:uiPriority w:val="99"/>
    <w:unhideWhenUsed/>
    <w:rsid w:val="00353C50"/>
    <w:rPr>
      <w:color w:val="0000FF"/>
      <w:u w:val="single"/>
    </w:rPr>
  </w:style>
  <w:style w:type="table" w:styleId="TableGrid">
    <w:name w:val="Table Grid"/>
    <w:basedOn w:val="TableNormal"/>
    <w:uiPriority w:val="59"/>
    <w:rsid w:val="009F5F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AP-ReferenceHeading">
    <w:name w:val="SAP-Reference Heading"/>
    <w:rsid w:val="00C03C60"/>
    <w:pPr>
      <w:spacing w:before="468" w:after="156" w:line="240" w:lineRule="exact"/>
      <w:jc w:val="both"/>
    </w:pPr>
    <w:rPr>
      <w:rFonts w:eastAsia="Times New Roman"/>
      <w:b/>
      <w:caps/>
      <w:noProof/>
      <w:sz w:val="28"/>
      <w:szCs w:val="16"/>
      <w:lang w:val="en-US"/>
    </w:rPr>
  </w:style>
  <w:style w:type="paragraph" w:customStyle="1" w:styleId="SAP-Paragraph">
    <w:name w:val="SAP-Paragraph"/>
    <w:link w:val="SAP-ParagraphChar"/>
    <w:rsid w:val="00C03C60"/>
    <w:pPr>
      <w:adjustRightInd w:val="0"/>
      <w:snapToGrid w:val="0"/>
      <w:spacing w:line="240" w:lineRule="exact"/>
      <w:ind w:firstLineChars="100" w:firstLine="100"/>
      <w:jc w:val="both"/>
    </w:pPr>
    <w:rPr>
      <w:rFonts w:eastAsia="Times New Roman"/>
      <w:szCs w:val="24"/>
      <w:lang w:val="en-AU" w:eastAsia="zh-CN"/>
    </w:rPr>
  </w:style>
  <w:style w:type="character" w:customStyle="1" w:styleId="SAP-ParagraphChar">
    <w:name w:val="SAP-Paragraph Char"/>
    <w:link w:val="SAP-Paragraph"/>
    <w:rsid w:val="00C03C60"/>
    <w:rPr>
      <w:rFonts w:eastAsia="Times New Roman"/>
      <w:szCs w:val="24"/>
      <w:lang w:val="en-AU" w:eastAsia="zh-CN" w:bidi="ar-SA"/>
    </w:rPr>
  </w:style>
  <w:style w:type="paragraph" w:customStyle="1" w:styleId="SAP-TableHeadingSingleline">
    <w:name w:val="SAP-Table Heading Single line"/>
    <w:basedOn w:val="Normal"/>
    <w:rsid w:val="00C03C60"/>
    <w:pPr>
      <w:adjustRightInd w:val="0"/>
      <w:snapToGrid w:val="0"/>
      <w:spacing w:before="200" w:after="100" w:line="160" w:lineRule="exact"/>
      <w:jc w:val="center"/>
    </w:pPr>
    <w:rPr>
      <w:rFonts w:eastAsia="Times New Roman"/>
      <w:bCs/>
      <w:sz w:val="16"/>
      <w:lang w:val="en-AU" w:eastAsia="zh-CN"/>
    </w:rPr>
  </w:style>
  <w:style w:type="paragraph" w:customStyle="1" w:styleId="SAP-Level2HeadingSingleline">
    <w:name w:val="SAP-Level 2 Heading Single line"/>
    <w:rsid w:val="00C03C60"/>
    <w:pPr>
      <w:adjustRightInd w:val="0"/>
      <w:snapToGrid w:val="0"/>
      <w:spacing w:before="187" w:after="93" w:line="240" w:lineRule="exact"/>
      <w:jc w:val="both"/>
      <w:outlineLvl w:val="1"/>
    </w:pPr>
    <w:rPr>
      <w:rFonts w:eastAsia="Times New Roman"/>
      <w:b/>
      <w:szCs w:val="24"/>
      <w:lang w:val="en-AU" w:eastAsia="zh-CN"/>
    </w:rPr>
  </w:style>
  <w:style w:type="paragraph" w:customStyle="1" w:styleId="SAP-Level1HeadingSingleline">
    <w:name w:val="SAP-Level 1 Heading Single line"/>
    <w:rsid w:val="00C03C60"/>
    <w:pPr>
      <w:adjustRightInd w:val="0"/>
      <w:snapToGrid w:val="0"/>
      <w:spacing w:before="468" w:after="156" w:line="240" w:lineRule="exact"/>
      <w:jc w:val="both"/>
      <w:outlineLvl w:val="0"/>
    </w:pPr>
    <w:rPr>
      <w:rFonts w:eastAsia="Times New Roman"/>
      <w:b/>
      <w:sz w:val="28"/>
      <w:szCs w:val="24"/>
      <w:lang w:val="en-US" w:eastAsia="zh-CN"/>
    </w:rPr>
  </w:style>
  <w:style w:type="paragraph" w:customStyle="1" w:styleId="SAP-ReferenceItem">
    <w:name w:val="SAP-Reference Item"/>
    <w:rsid w:val="00C03C60"/>
    <w:pPr>
      <w:adjustRightInd w:val="0"/>
      <w:snapToGrid w:val="0"/>
      <w:spacing w:after="156" w:line="200" w:lineRule="exact"/>
      <w:ind w:left="420" w:hanging="420"/>
      <w:jc w:val="both"/>
    </w:pPr>
    <w:rPr>
      <w:rFonts w:eastAsia="Times New Roman"/>
      <w:sz w:val="18"/>
      <w:szCs w:val="24"/>
      <w:lang w:val="en-US" w:eastAsia="zh-CN"/>
    </w:rPr>
  </w:style>
  <w:style w:type="paragraph" w:customStyle="1" w:styleId="SAP-FigureCaptionMulti-Lines">
    <w:name w:val="SAP-Figure Caption Multi-Lines"/>
    <w:rsid w:val="00C03C60"/>
    <w:pPr>
      <w:spacing w:afterLines="50" w:line="200" w:lineRule="exact"/>
    </w:pPr>
    <w:rPr>
      <w:rFonts w:eastAsia="Times New Roman"/>
      <w:sz w:val="16"/>
      <w:szCs w:val="24"/>
      <w:lang w:val="en-AU" w:eastAsia="zh-CN"/>
    </w:rPr>
  </w:style>
  <w:style w:type="paragraph" w:customStyle="1" w:styleId="SAP-FigtureCaptionSingleline">
    <w:name w:val="SAP-Figture Caption Single line"/>
    <w:qFormat/>
    <w:rsid w:val="00C03C60"/>
    <w:pPr>
      <w:spacing w:afterLines="50" w:line="200" w:lineRule="exact"/>
      <w:jc w:val="center"/>
    </w:pPr>
    <w:rPr>
      <w:rFonts w:eastAsia="Times New Roman"/>
      <w:sz w:val="16"/>
      <w:szCs w:val="18"/>
      <w:lang w:val="en-US" w:eastAsia="zh-CN"/>
    </w:rPr>
  </w:style>
  <w:style w:type="paragraph" w:customStyle="1" w:styleId="SAP-Acknowledgement">
    <w:name w:val="SAP-Acknowledgement"/>
    <w:qFormat/>
    <w:rsid w:val="00C03C60"/>
    <w:pPr>
      <w:spacing w:before="468" w:after="156" w:line="240" w:lineRule="exact"/>
      <w:jc w:val="both"/>
    </w:pPr>
    <w:rPr>
      <w:rFonts w:eastAsia="Times New Roman"/>
      <w:b/>
      <w:caps/>
      <w:sz w:val="28"/>
      <w:szCs w:val="18"/>
      <w:lang w:val="en-US" w:eastAsia="zh-CN"/>
    </w:rPr>
  </w:style>
  <w:style w:type="paragraph" w:customStyle="1" w:styleId="SAP-Equation">
    <w:name w:val="SAP-Equation"/>
    <w:qFormat/>
    <w:rsid w:val="00C03C60"/>
    <w:pPr>
      <w:tabs>
        <w:tab w:val="center" w:pos="2646"/>
        <w:tab w:val="right" w:pos="5292"/>
      </w:tabs>
      <w:jc w:val="right"/>
    </w:pPr>
    <w:rPr>
      <w:rFonts w:eastAsia="Times New Roman"/>
      <w:szCs w:val="18"/>
      <w:lang w:val="en-US" w:eastAsia="zh-CN"/>
    </w:rPr>
  </w:style>
  <w:style w:type="paragraph" w:customStyle="1" w:styleId="SAP-TableCell">
    <w:name w:val="SAP-Table Cell"/>
    <w:qFormat/>
    <w:rsid w:val="00C03C60"/>
    <w:pPr>
      <w:spacing w:line="200" w:lineRule="exact"/>
      <w:jc w:val="center"/>
    </w:pPr>
    <w:rPr>
      <w:rFonts w:eastAsia="Times New Roman"/>
      <w:bCs/>
      <w:sz w:val="16"/>
      <w:szCs w:val="16"/>
      <w:lang w:val="en-AU" w:eastAsia="zh-CN"/>
    </w:rPr>
  </w:style>
  <w:style w:type="character" w:customStyle="1" w:styleId="st1">
    <w:name w:val="st1"/>
    <w:basedOn w:val="DefaultParagraphFont"/>
    <w:rsid w:val="00C03C60"/>
  </w:style>
  <w:style w:type="paragraph" w:customStyle="1" w:styleId="SAP-Level3HeadingSingleline">
    <w:name w:val="SAP-Level 3 Heading Single line"/>
    <w:next w:val="SAP-Paragraph"/>
    <w:qFormat/>
    <w:rsid w:val="00C03C60"/>
    <w:pPr>
      <w:spacing w:before="187" w:after="93" w:line="240" w:lineRule="exact"/>
      <w:jc w:val="both"/>
    </w:pPr>
    <w:rPr>
      <w:rFonts w:eastAsia="Times New Roman"/>
      <w:kern w:val="2"/>
      <w:szCs w:val="22"/>
      <w:lang w:val="en-US" w:eastAsia="zh-CN"/>
    </w:rPr>
  </w:style>
  <w:style w:type="paragraph" w:styleId="NormalWeb">
    <w:name w:val="Normal (Web)"/>
    <w:basedOn w:val="Normal"/>
    <w:uiPriority w:val="99"/>
    <w:semiHidden/>
    <w:unhideWhenUsed/>
    <w:rsid w:val="000C31D1"/>
    <w:pPr>
      <w:spacing w:before="100" w:beforeAutospacing="1" w:after="100" w:afterAutospacing="1"/>
    </w:pPr>
    <w:rPr>
      <w:rFonts w:eastAsia="Times New Roman"/>
      <w:lang w:eastAsia="en-US"/>
    </w:rPr>
  </w:style>
  <w:style w:type="character" w:customStyle="1" w:styleId="apple-converted-space">
    <w:name w:val="apple-converted-space"/>
    <w:rsid w:val="000C31D1"/>
  </w:style>
  <w:style w:type="paragraph" w:styleId="BalloonText">
    <w:name w:val="Balloon Text"/>
    <w:basedOn w:val="Normal"/>
    <w:link w:val="BalloonTextChar"/>
    <w:uiPriority w:val="99"/>
    <w:semiHidden/>
    <w:unhideWhenUsed/>
    <w:rsid w:val="00E377B7"/>
    <w:rPr>
      <w:rFonts w:ascii="Tahoma" w:hAnsi="Tahoma"/>
      <w:sz w:val="16"/>
      <w:szCs w:val="16"/>
    </w:rPr>
  </w:style>
  <w:style w:type="character" w:customStyle="1" w:styleId="BalloonTextChar">
    <w:name w:val="Balloon Text Char"/>
    <w:link w:val="BalloonText"/>
    <w:uiPriority w:val="99"/>
    <w:semiHidden/>
    <w:rsid w:val="00E377B7"/>
    <w:rPr>
      <w:rFonts w:ascii="Tahoma" w:hAnsi="Tahoma" w:cs="Tahoma"/>
      <w:sz w:val="16"/>
      <w:szCs w:val="16"/>
      <w:lang w:eastAsia="ko-KR"/>
    </w:rPr>
  </w:style>
  <w:style w:type="paragraph" w:customStyle="1" w:styleId="FooterEven">
    <w:name w:val="Footer Even"/>
    <w:basedOn w:val="Normal"/>
    <w:qFormat/>
    <w:rsid w:val="00E377B7"/>
    <w:pPr>
      <w:pBdr>
        <w:top w:val="single" w:sz="4" w:space="1" w:color="4F81BD"/>
      </w:pBdr>
      <w:spacing w:after="180" w:line="264" w:lineRule="auto"/>
    </w:pPr>
    <w:rPr>
      <w:rFonts w:ascii="Calibri" w:eastAsia="Calibri" w:hAnsi="Calibri"/>
      <w:color w:val="1F497D"/>
      <w:sz w:val="20"/>
      <w:szCs w:val="20"/>
      <w:lang w:eastAsia="ja-JP"/>
    </w:rPr>
  </w:style>
  <w:style w:type="character" w:styleId="FollowedHyperlink">
    <w:name w:val="FollowedHyperlink"/>
    <w:uiPriority w:val="99"/>
    <w:semiHidden/>
    <w:unhideWhenUsed/>
    <w:rsid w:val="001D4ABF"/>
    <w:rPr>
      <w:color w:val="800080"/>
      <w:u w:val="single"/>
    </w:rPr>
  </w:style>
  <w:style w:type="character" w:customStyle="1" w:styleId="UnresolvedMention">
    <w:name w:val="Unresolved Mention"/>
    <w:basedOn w:val="DefaultParagraphFont"/>
    <w:uiPriority w:val="99"/>
    <w:semiHidden/>
    <w:unhideWhenUsed/>
    <w:rsid w:val="007A4E7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4225841">
      <w:bodyDiv w:val="1"/>
      <w:marLeft w:val="0"/>
      <w:marRight w:val="0"/>
      <w:marTop w:val="0"/>
      <w:marBottom w:val="0"/>
      <w:divBdr>
        <w:top w:val="none" w:sz="0" w:space="0" w:color="auto"/>
        <w:left w:val="none" w:sz="0" w:space="0" w:color="auto"/>
        <w:bottom w:val="none" w:sz="0" w:space="0" w:color="auto"/>
        <w:right w:val="none" w:sz="0" w:space="0" w:color="auto"/>
      </w:divBdr>
    </w:div>
    <w:div w:id="117837984">
      <w:bodyDiv w:val="1"/>
      <w:marLeft w:val="0"/>
      <w:marRight w:val="0"/>
      <w:marTop w:val="0"/>
      <w:marBottom w:val="0"/>
      <w:divBdr>
        <w:top w:val="none" w:sz="0" w:space="0" w:color="auto"/>
        <w:left w:val="none" w:sz="0" w:space="0" w:color="auto"/>
        <w:bottom w:val="none" w:sz="0" w:space="0" w:color="auto"/>
        <w:right w:val="none" w:sz="0" w:space="0" w:color="auto"/>
      </w:divBdr>
    </w:div>
    <w:div w:id="150024559">
      <w:bodyDiv w:val="1"/>
      <w:marLeft w:val="0"/>
      <w:marRight w:val="0"/>
      <w:marTop w:val="0"/>
      <w:marBottom w:val="0"/>
      <w:divBdr>
        <w:top w:val="none" w:sz="0" w:space="0" w:color="auto"/>
        <w:left w:val="none" w:sz="0" w:space="0" w:color="auto"/>
        <w:bottom w:val="none" w:sz="0" w:space="0" w:color="auto"/>
        <w:right w:val="none" w:sz="0" w:space="0" w:color="auto"/>
      </w:divBdr>
    </w:div>
    <w:div w:id="216941809">
      <w:bodyDiv w:val="1"/>
      <w:marLeft w:val="0"/>
      <w:marRight w:val="0"/>
      <w:marTop w:val="0"/>
      <w:marBottom w:val="0"/>
      <w:divBdr>
        <w:top w:val="none" w:sz="0" w:space="0" w:color="auto"/>
        <w:left w:val="none" w:sz="0" w:space="0" w:color="auto"/>
        <w:bottom w:val="none" w:sz="0" w:space="0" w:color="auto"/>
        <w:right w:val="none" w:sz="0" w:space="0" w:color="auto"/>
      </w:divBdr>
    </w:div>
    <w:div w:id="238372972">
      <w:bodyDiv w:val="1"/>
      <w:marLeft w:val="0"/>
      <w:marRight w:val="0"/>
      <w:marTop w:val="0"/>
      <w:marBottom w:val="0"/>
      <w:divBdr>
        <w:top w:val="none" w:sz="0" w:space="0" w:color="auto"/>
        <w:left w:val="none" w:sz="0" w:space="0" w:color="auto"/>
        <w:bottom w:val="none" w:sz="0" w:space="0" w:color="auto"/>
        <w:right w:val="none" w:sz="0" w:space="0" w:color="auto"/>
      </w:divBdr>
    </w:div>
    <w:div w:id="248656374">
      <w:bodyDiv w:val="1"/>
      <w:marLeft w:val="0"/>
      <w:marRight w:val="0"/>
      <w:marTop w:val="0"/>
      <w:marBottom w:val="0"/>
      <w:divBdr>
        <w:top w:val="none" w:sz="0" w:space="0" w:color="auto"/>
        <w:left w:val="none" w:sz="0" w:space="0" w:color="auto"/>
        <w:bottom w:val="none" w:sz="0" w:space="0" w:color="auto"/>
        <w:right w:val="none" w:sz="0" w:space="0" w:color="auto"/>
      </w:divBdr>
    </w:div>
    <w:div w:id="278536579">
      <w:bodyDiv w:val="1"/>
      <w:marLeft w:val="0"/>
      <w:marRight w:val="0"/>
      <w:marTop w:val="0"/>
      <w:marBottom w:val="0"/>
      <w:divBdr>
        <w:top w:val="none" w:sz="0" w:space="0" w:color="auto"/>
        <w:left w:val="none" w:sz="0" w:space="0" w:color="auto"/>
        <w:bottom w:val="none" w:sz="0" w:space="0" w:color="auto"/>
        <w:right w:val="none" w:sz="0" w:space="0" w:color="auto"/>
      </w:divBdr>
    </w:div>
    <w:div w:id="531109389">
      <w:bodyDiv w:val="1"/>
      <w:marLeft w:val="0"/>
      <w:marRight w:val="0"/>
      <w:marTop w:val="0"/>
      <w:marBottom w:val="0"/>
      <w:divBdr>
        <w:top w:val="none" w:sz="0" w:space="0" w:color="auto"/>
        <w:left w:val="none" w:sz="0" w:space="0" w:color="auto"/>
        <w:bottom w:val="none" w:sz="0" w:space="0" w:color="auto"/>
        <w:right w:val="none" w:sz="0" w:space="0" w:color="auto"/>
      </w:divBdr>
    </w:div>
    <w:div w:id="578711738">
      <w:bodyDiv w:val="1"/>
      <w:marLeft w:val="0"/>
      <w:marRight w:val="0"/>
      <w:marTop w:val="0"/>
      <w:marBottom w:val="0"/>
      <w:divBdr>
        <w:top w:val="none" w:sz="0" w:space="0" w:color="auto"/>
        <w:left w:val="none" w:sz="0" w:space="0" w:color="auto"/>
        <w:bottom w:val="none" w:sz="0" w:space="0" w:color="auto"/>
        <w:right w:val="none" w:sz="0" w:space="0" w:color="auto"/>
      </w:divBdr>
    </w:div>
    <w:div w:id="583613172">
      <w:bodyDiv w:val="1"/>
      <w:marLeft w:val="0"/>
      <w:marRight w:val="0"/>
      <w:marTop w:val="0"/>
      <w:marBottom w:val="0"/>
      <w:divBdr>
        <w:top w:val="none" w:sz="0" w:space="0" w:color="auto"/>
        <w:left w:val="none" w:sz="0" w:space="0" w:color="auto"/>
        <w:bottom w:val="none" w:sz="0" w:space="0" w:color="auto"/>
        <w:right w:val="none" w:sz="0" w:space="0" w:color="auto"/>
      </w:divBdr>
    </w:div>
    <w:div w:id="770466562">
      <w:bodyDiv w:val="1"/>
      <w:marLeft w:val="0"/>
      <w:marRight w:val="0"/>
      <w:marTop w:val="0"/>
      <w:marBottom w:val="0"/>
      <w:divBdr>
        <w:top w:val="none" w:sz="0" w:space="0" w:color="auto"/>
        <w:left w:val="none" w:sz="0" w:space="0" w:color="auto"/>
        <w:bottom w:val="none" w:sz="0" w:space="0" w:color="auto"/>
        <w:right w:val="none" w:sz="0" w:space="0" w:color="auto"/>
      </w:divBdr>
    </w:div>
    <w:div w:id="781531466">
      <w:bodyDiv w:val="1"/>
      <w:marLeft w:val="0"/>
      <w:marRight w:val="0"/>
      <w:marTop w:val="0"/>
      <w:marBottom w:val="0"/>
      <w:divBdr>
        <w:top w:val="none" w:sz="0" w:space="0" w:color="auto"/>
        <w:left w:val="none" w:sz="0" w:space="0" w:color="auto"/>
        <w:bottom w:val="none" w:sz="0" w:space="0" w:color="auto"/>
        <w:right w:val="none" w:sz="0" w:space="0" w:color="auto"/>
      </w:divBdr>
    </w:div>
    <w:div w:id="804195734">
      <w:bodyDiv w:val="1"/>
      <w:marLeft w:val="0"/>
      <w:marRight w:val="0"/>
      <w:marTop w:val="0"/>
      <w:marBottom w:val="0"/>
      <w:divBdr>
        <w:top w:val="none" w:sz="0" w:space="0" w:color="auto"/>
        <w:left w:val="none" w:sz="0" w:space="0" w:color="auto"/>
        <w:bottom w:val="none" w:sz="0" w:space="0" w:color="auto"/>
        <w:right w:val="none" w:sz="0" w:space="0" w:color="auto"/>
      </w:divBdr>
      <w:divsChild>
        <w:div w:id="107704899">
          <w:marLeft w:val="0"/>
          <w:marRight w:val="0"/>
          <w:marTop w:val="0"/>
          <w:marBottom w:val="0"/>
          <w:divBdr>
            <w:top w:val="none" w:sz="0" w:space="0" w:color="auto"/>
            <w:left w:val="none" w:sz="0" w:space="0" w:color="auto"/>
            <w:bottom w:val="none" w:sz="0" w:space="0" w:color="auto"/>
            <w:right w:val="none" w:sz="0" w:space="0" w:color="auto"/>
          </w:divBdr>
          <w:divsChild>
            <w:div w:id="168981222">
              <w:marLeft w:val="0"/>
              <w:marRight w:val="0"/>
              <w:marTop w:val="0"/>
              <w:marBottom w:val="0"/>
              <w:divBdr>
                <w:top w:val="none" w:sz="0" w:space="0" w:color="auto"/>
                <w:left w:val="none" w:sz="0" w:space="0" w:color="auto"/>
                <w:bottom w:val="none" w:sz="0" w:space="0" w:color="auto"/>
                <w:right w:val="none" w:sz="0" w:space="0" w:color="auto"/>
              </w:divBdr>
              <w:divsChild>
                <w:div w:id="1398014753">
                  <w:marLeft w:val="0"/>
                  <w:marRight w:val="0"/>
                  <w:marTop w:val="0"/>
                  <w:marBottom w:val="0"/>
                  <w:divBdr>
                    <w:top w:val="none" w:sz="0" w:space="0" w:color="auto"/>
                    <w:left w:val="none" w:sz="0" w:space="0" w:color="auto"/>
                    <w:bottom w:val="none" w:sz="0" w:space="0" w:color="auto"/>
                    <w:right w:val="none" w:sz="0" w:space="0" w:color="auto"/>
                  </w:divBdr>
                  <w:divsChild>
                    <w:div w:id="111097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5739">
      <w:bodyDiv w:val="1"/>
      <w:marLeft w:val="0"/>
      <w:marRight w:val="0"/>
      <w:marTop w:val="0"/>
      <w:marBottom w:val="0"/>
      <w:divBdr>
        <w:top w:val="none" w:sz="0" w:space="0" w:color="auto"/>
        <w:left w:val="none" w:sz="0" w:space="0" w:color="auto"/>
        <w:bottom w:val="none" w:sz="0" w:space="0" w:color="auto"/>
        <w:right w:val="none" w:sz="0" w:space="0" w:color="auto"/>
      </w:divBdr>
    </w:div>
    <w:div w:id="830566277">
      <w:bodyDiv w:val="1"/>
      <w:marLeft w:val="0"/>
      <w:marRight w:val="0"/>
      <w:marTop w:val="0"/>
      <w:marBottom w:val="0"/>
      <w:divBdr>
        <w:top w:val="none" w:sz="0" w:space="0" w:color="auto"/>
        <w:left w:val="none" w:sz="0" w:space="0" w:color="auto"/>
        <w:bottom w:val="none" w:sz="0" w:space="0" w:color="auto"/>
        <w:right w:val="none" w:sz="0" w:space="0" w:color="auto"/>
      </w:divBdr>
    </w:div>
    <w:div w:id="856192316">
      <w:bodyDiv w:val="1"/>
      <w:marLeft w:val="0"/>
      <w:marRight w:val="0"/>
      <w:marTop w:val="0"/>
      <w:marBottom w:val="0"/>
      <w:divBdr>
        <w:top w:val="none" w:sz="0" w:space="0" w:color="auto"/>
        <w:left w:val="none" w:sz="0" w:space="0" w:color="auto"/>
        <w:bottom w:val="none" w:sz="0" w:space="0" w:color="auto"/>
        <w:right w:val="none" w:sz="0" w:space="0" w:color="auto"/>
      </w:divBdr>
    </w:div>
    <w:div w:id="863900544">
      <w:bodyDiv w:val="1"/>
      <w:marLeft w:val="0"/>
      <w:marRight w:val="0"/>
      <w:marTop w:val="0"/>
      <w:marBottom w:val="0"/>
      <w:divBdr>
        <w:top w:val="none" w:sz="0" w:space="0" w:color="auto"/>
        <w:left w:val="none" w:sz="0" w:space="0" w:color="auto"/>
        <w:bottom w:val="none" w:sz="0" w:space="0" w:color="auto"/>
        <w:right w:val="none" w:sz="0" w:space="0" w:color="auto"/>
      </w:divBdr>
    </w:div>
    <w:div w:id="889809496">
      <w:bodyDiv w:val="1"/>
      <w:marLeft w:val="0"/>
      <w:marRight w:val="0"/>
      <w:marTop w:val="0"/>
      <w:marBottom w:val="0"/>
      <w:divBdr>
        <w:top w:val="none" w:sz="0" w:space="0" w:color="auto"/>
        <w:left w:val="none" w:sz="0" w:space="0" w:color="auto"/>
        <w:bottom w:val="none" w:sz="0" w:space="0" w:color="auto"/>
        <w:right w:val="none" w:sz="0" w:space="0" w:color="auto"/>
      </w:divBdr>
    </w:div>
    <w:div w:id="893732518">
      <w:bodyDiv w:val="1"/>
      <w:marLeft w:val="0"/>
      <w:marRight w:val="0"/>
      <w:marTop w:val="0"/>
      <w:marBottom w:val="0"/>
      <w:divBdr>
        <w:top w:val="none" w:sz="0" w:space="0" w:color="auto"/>
        <w:left w:val="none" w:sz="0" w:space="0" w:color="auto"/>
        <w:bottom w:val="none" w:sz="0" w:space="0" w:color="auto"/>
        <w:right w:val="none" w:sz="0" w:space="0" w:color="auto"/>
      </w:divBdr>
    </w:div>
    <w:div w:id="910238042">
      <w:bodyDiv w:val="1"/>
      <w:marLeft w:val="0"/>
      <w:marRight w:val="0"/>
      <w:marTop w:val="0"/>
      <w:marBottom w:val="0"/>
      <w:divBdr>
        <w:top w:val="none" w:sz="0" w:space="0" w:color="auto"/>
        <w:left w:val="none" w:sz="0" w:space="0" w:color="auto"/>
        <w:bottom w:val="none" w:sz="0" w:space="0" w:color="auto"/>
        <w:right w:val="none" w:sz="0" w:space="0" w:color="auto"/>
      </w:divBdr>
    </w:div>
    <w:div w:id="922682373">
      <w:bodyDiv w:val="1"/>
      <w:marLeft w:val="0"/>
      <w:marRight w:val="0"/>
      <w:marTop w:val="0"/>
      <w:marBottom w:val="0"/>
      <w:divBdr>
        <w:top w:val="none" w:sz="0" w:space="0" w:color="auto"/>
        <w:left w:val="none" w:sz="0" w:space="0" w:color="auto"/>
        <w:bottom w:val="none" w:sz="0" w:space="0" w:color="auto"/>
        <w:right w:val="none" w:sz="0" w:space="0" w:color="auto"/>
      </w:divBdr>
    </w:div>
    <w:div w:id="958680917">
      <w:bodyDiv w:val="1"/>
      <w:marLeft w:val="0"/>
      <w:marRight w:val="0"/>
      <w:marTop w:val="0"/>
      <w:marBottom w:val="0"/>
      <w:divBdr>
        <w:top w:val="none" w:sz="0" w:space="0" w:color="auto"/>
        <w:left w:val="none" w:sz="0" w:space="0" w:color="auto"/>
        <w:bottom w:val="none" w:sz="0" w:space="0" w:color="auto"/>
        <w:right w:val="none" w:sz="0" w:space="0" w:color="auto"/>
      </w:divBdr>
    </w:div>
    <w:div w:id="973751728">
      <w:bodyDiv w:val="1"/>
      <w:marLeft w:val="0"/>
      <w:marRight w:val="0"/>
      <w:marTop w:val="0"/>
      <w:marBottom w:val="0"/>
      <w:divBdr>
        <w:top w:val="none" w:sz="0" w:space="0" w:color="auto"/>
        <w:left w:val="none" w:sz="0" w:space="0" w:color="auto"/>
        <w:bottom w:val="none" w:sz="0" w:space="0" w:color="auto"/>
        <w:right w:val="none" w:sz="0" w:space="0" w:color="auto"/>
      </w:divBdr>
    </w:div>
    <w:div w:id="1101805203">
      <w:bodyDiv w:val="1"/>
      <w:marLeft w:val="0"/>
      <w:marRight w:val="0"/>
      <w:marTop w:val="0"/>
      <w:marBottom w:val="0"/>
      <w:divBdr>
        <w:top w:val="none" w:sz="0" w:space="0" w:color="auto"/>
        <w:left w:val="none" w:sz="0" w:space="0" w:color="auto"/>
        <w:bottom w:val="none" w:sz="0" w:space="0" w:color="auto"/>
        <w:right w:val="none" w:sz="0" w:space="0" w:color="auto"/>
      </w:divBdr>
    </w:div>
    <w:div w:id="1115562353">
      <w:bodyDiv w:val="1"/>
      <w:marLeft w:val="0"/>
      <w:marRight w:val="0"/>
      <w:marTop w:val="0"/>
      <w:marBottom w:val="0"/>
      <w:divBdr>
        <w:top w:val="none" w:sz="0" w:space="0" w:color="auto"/>
        <w:left w:val="none" w:sz="0" w:space="0" w:color="auto"/>
        <w:bottom w:val="none" w:sz="0" w:space="0" w:color="auto"/>
        <w:right w:val="none" w:sz="0" w:space="0" w:color="auto"/>
      </w:divBdr>
    </w:div>
    <w:div w:id="1136489545">
      <w:bodyDiv w:val="1"/>
      <w:marLeft w:val="0"/>
      <w:marRight w:val="0"/>
      <w:marTop w:val="0"/>
      <w:marBottom w:val="0"/>
      <w:divBdr>
        <w:top w:val="none" w:sz="0" w:space="0" w:color="auto"/>
        <w:left w:val="none" w:sz="0" w:space="0" w:color="auto"/>
        <w:bottom w:val="none" w:sz="0" w:space="0" w:color="auto"/>
        <w:right w:val="none" w:sz="0" w:space="0" w:color="auto"/>
      </w:divBdr>
    </w:div>
    <w:div w:id="1154948192">
      <w:bodyDiv w:val="1"/>
      <w:marLeft w:val="0"/>
      <w:marRight w:val="0"/>
      <w:marTop w:val="0"/>
      <w:marBottom w:val="0"/>
      <w:divBdr>
        <w:top w:val="none" w:sz="0" w:space="0" w:color="auto"/>
        <w:left w:val="none" w:sz="0" w:space="0" w:color="auto"/>
        <w:bottom w:val="none" w:sz="0" w:space="0" w:color="auto"/>
        <w:right w:val="none" w:sz="0" w:space="0" w:color="auto"/>
      </w:divBdr>
    </w:div>
    <w:div w:id="1223253908">
      <w:bodyDiv w:val="1"/>
      <w:marLeft w:val="0"/>
      <w:marRight w:val="0"/>
      <w:marTop w:val="0"/>
      <w:marBottom w:val="0"/>
      <w:divBdr>
        <w:top w:val="none" w:sz="0" w:space="0" w:color="auto"/>
        <w:left w:val="none" w:sz="0" w:space="0" w:color="auto"/>
        <w:bottom w:val="none" w:sz="0" w:space="0" w:color="auto"/>
        <w:right w:val="none" w:sz="0" w:space="0" w:color="auto"/>
      </w:divBdr>
    </w:div>
    <w:div w:id="1229684214">
      <w:bodyDiv w:val="1"/>
      <w:marLeft w:val="0"/>
      <w:marRight w:val="0"/>
      <w:marTop w:val="0"/>
      <w:marBottom w:val="0"/>
      <w:divBdr>
        <w:top w:val="none" w:sz="0" w:space="0" w:color="auto"/>
        <w:left w:val="none" w:sz="0" w:space="0" w:color="auto"/>
        <w:bottom w:val="none" w:sz="0" w:space="0" w:color="auto"/>
        <w:right w:val="none" w:sz="0" w:space="0" w:color="auto"/>
      </w:divBdr>
    </w:div>
    <w:div w:id="1317880055">
      <w:bodyDiv w:val="1"/>
      <w:marLeft w:val="0"/>
      <w:marRight w:val="0"/>
      <w:marTop w:val="0"/>
      <w:marBottom w:val="0"/>
      <w:divBdr>
        <w:top w:val="none" w:sz="0" w:space="0" w:color="auto"/>
        <w:left w:val="none" w:sz="0" w:space="0" w:color="auto"/>
        <w:bottom w:val="none" w:sz="0" w:space="0" w:color="auto"/>
        <w:right w:val="none" w:sz="0" w:space="0" w:color="auto"/>
      </w:divBdr>
    </w:div>
    <w:div w:id="1322737021">
      <w:bodyDiv w:val="1"/>
      <w:marLeft w:val="0"/>
      <w:marRight w:val="0"/>
      <w:marTop w:val="0"/>
      <w:marBottom w:val="0"/>
      <w:divBdr>
        <w:top w:val="none" w:sz="0" w:space="0" w:color="auto"/>
        <w:left w:val="none" w:sz="0" w:space="0" w:color="auto"/>
        <w:bottom w:val="none" w:sz="0" w:space="0" w:color="auto"/>
        <w:right w:val="none" w:sz="0" w:space="0" w:color="auto"/>
      </w:divBdr>
    </w:div>
    <w:div w:id="1421755301">
      <w:bodyDiv w:val="1"/>
      <w:marLeft w:val="0"/>
      <w:marRight w:val="0"/>
      <w:marTop w:val="0"/>
      <w:marBottom w:val="0"/>
      <w:divBdr>
        <w:top w:val="none" w:sz="0" w:space="0" w:color="auto"/>
        <w:left w:val="none" w:sz="0" w:space="0" w:color="auto"/>
        <w:bottom w:val="none" w:sz="0" w:space="0" w:color="auto"/>
        <w:right w:val="none" w:sz="0" w:space="0" w:color="auto"/>
      </w:divBdr>
    </w:div>
    <w:div w:id="1438598164">
      <w:bodyDiv w:val="1"/>
      <w:marLeft w:val="0"/>
      <w:marRight w:val="0"/>
      <w:marTop w:val="0"/>
      <w:marBottom w:val="0"/>
      <w:divBdr>
        <w:top w:val="none" w:sz="0" w:space="0" w:color="auto"/>
        <w:left w:val="none" w:sz="0" w:space="0" w:color="auto"/>
        <w:bottom w:val="none" w:sz="0" w:space="0" w:color="auto"/>
        <w:right w:val="none" w:sz="0" w:space="0" w:color="auto"/>
      </w:divBdr>
    </w:div>
    <w:div w:id="1559322712">
      <w:bodyDiv w:val="1"/>
      <w:marLeft w:val="0"/>
      <w:marRight w:val="0"/>
      <w:marTop w:val="0"/>
      <w:marBottom w:val="0"/>
      <w:divBdr>
        <w:top w:val="none" w:sz="0" w:space="0" w:color="auto"/>
        <w:left w:val="none" w:sz="0" w:space="0" w:color="auto"/>
        <w:bottom w:val="none" w:sz="0" w:space="0" w:color="auto"/>
        <w:right w:val="none" w:sz="0" w:space="0" w:color="auto"/>
      </w:divBdr>
    </w:div>
    <w:div w:id="1614969986">
      <w:bodyDiv w:val="1"/>
      <w:marLeft w:val="0"/>
      <w:marRight w:val="0"/>
      <w:marTop w:val="0"/>
      <w:marBottom w:val="0"/>
      <w:divBdr>
        <w:top w:val="none" w:sz="0" w:space="0" w:color="auto"/>
        <w:left w:val="none" w:sz="0" w:space="0" w:color="auto"/>
        <w:bottom w:val="none" w:sz="0" w:space="0" w:color="auto"/>
        <w:right w:val="none" w:sz="0" w:space="0" w:color="auto"/>
      </w:divBdr>
    </w:div>
    <w:div w:id="1695111442">
      <w:bodyDiv w:val="1"/>
      <w:marLeft w:val="0"/>
      <w:marRight w:val="0"/>
      <w:marTop w:val="0"/>
      <w:marBottom w:val="0"/>
      <w:divBdr>
        <w:top w:val="none" w:sz="0" w:space="0" w:color="auto"/>
        <w:left w:val="none" w:sz="0" w:space="0" w:color="auto"/>
        <w:bottom w:val="none" w:sz="0" w:space="0" w:color="auto"/>
        <w:right w:val="none" w:sz="0" w:space="0" w:color="auto"/>
      </w:divBdr>
    </w:div>
    <w:div w:id="1734311329">
      <w:bodyDiv w:val="1"/>
      <w:marLeft w:val="0"/>
      <w:marRight w:val="0"/>
      <w:marTop w:val="0"/>
      <w:marBottom w:val="0"/>
      <w:divBdr>
        <w:top w:val="none" w:sz="0" w:space="0" w:color="auto"/>
        <w:left w:val="none" w:sz="0" w:space="0" w:color="auto"/>
        <w:bottom w:val="none" w:sz="0" w:space="0" w:color="auto"/>
        <w:right w:val="none" w:sz="0" w:space="0" w:color="auto"/>
      </w:divBdr>
    </w:div>
    <w:div w:id="1787578727">
      <w:bodyDiv w:val="1"/>
      <w:marLeft w:val="0"/>
      <w:marRight w:val="0"/>
      <w:marTop w:val="0"/>
      <w:marBottom w:val="0"/>
      <w:divBdr>
        <w:top w:val="none" w:sz="0" w:space="0" w:color="auto"/>
        <w:left w:val="none" w:sz="0" w:space="0" w:color="auto"/>
        <w:bottom w:val="none" w:sz="0" w:space="0" w:color="auto"/>
        <w:right w:val="none" w:sz="0" w:space="0" w:color="auto"/>
      </w:divBdr>
    </w:div>
    <w:div w:id="1912695113">
      <w:bodyDiv w:val="1"/>
      <w:marLeft w:val="0"/>
      <w:marRight w:val="0"/>
      <w:marTop w:val="0"/>
      <w:marBottom w:val="0"/>
      <w:divBdr>
        <w:top w:val="none" w:sz="0" w:space="0" w:color="auto"/>
        <w:left w:val="none" w:sz="0" w:space="0" w:color="auto"/>
        <w:bottom w:val="none" w:sz="0" w:space="0" w:color="auto"/>
        <w:right w:val="none" w:sz="0" w:space="0" w:color="auto"/>
      </w:divBdr>
    </w:div>
    <w:div w:id="1923951138">
      <w:bodyDiv w:val="1"/>
      <w:marLeft w:val="0"/>
      <w:marRight w:val="0"/>
      <w:marTop w:val="0"/>
      <w:marBottom w:val="0"/>
      <w:divBdr>
        <w:top w:val="none" w:sz="0" w:space="0" w:color="auto"/>
        <w:left w:val="none" w:sz="0" w:space="0" w:color="auto"/>
        <w:bottom w:val="none" w:sz="0" w:space="0" w:color="auto"/>
        <w:right w:val="none" w:sz="0" w:space="0" w:color="auto"/>
      </w:divBdr>
    </w:div>
    <w:div w:id="2002272515">
      <w:bodyDiv w:val="1"/>
      <w:marLeft w:val="0"/>
      <w:marRight w:val="0"/>
      <w:marTop w:val="0"/>
      <w:marBottom w:val="0"/>
      <w:divBdr>
        <w:top w:val="none" w:sz="0" w:space="0" w:color="auto"/>
        <w:left w:val="none" w:sz="0" w:space="0" w:color="auto"/>
        <w:bottom w:val="none" w:sz="0" w:space="0" w:color="auto"/>
        <w:right w:val="none" w:sz="0" w:space="0" w:color="auto"/>
      </w:divBdr>
    </w:div>
    <w:div w:id="2043508508">
      <w:bodyDiv w:val="1"/>
      <w:marLeft w:val="0"/>
      <w:marRight w:val="0"/>
      <w:marTop w:val="0"/>
      <w:marBottom w:val="0"/>
      <w:divBdr>
        <w:top w:val="none" w:sz="0" w:space="0" w:color="auto"/>
        <w:left w:val="none" w:sz="0" w:space="0" w:color="auto"/>
        <w:bottom w:val="none" w:sz="0" w:space="0" w:color="auto"/>
        <w:right w:val="none" w:sz="0" w:space="0" w:color="auto"/>
      </w:divBdr>
    </w:div>
    <w:div w:id="2057074946">
      <w:bodyDiv w:val="1"/>
      <w:marLeft w:val="0"/>
      <w:marRight w:val="0"/>
      <w:marTop w:val="0"/>
      <w:marBottom w:val="0"/>
      <w:divBdr>
        <w:top w:val="none" w:sz="0" w:space="0" w:color="auto"/>
        <w:left w:val="none" w:sz="0" w:space="0" w:color="auto"/>
        <w:bottom w:val="none" w:sz="0" w:space="0" w:color="auto"/>
        <w:right w:val="none" w:sz="0" w:space="0" w:color="auto"/>
      </w:divBdr>
      <w:divsChild>
        <w:div w:id="218635115">
          <w:marLeft w:val="0"/>
          <w:marRight w:val="0"/>
          <w:marTop w:val="0"/>
          <w:marBottom w:val="0"/>
          <w:divBdr>
            <w:top w:val="none" w:sz="0" w:space="0" w:color="auto"/>
            <w:left w:val="none" w:sz="0" w:space="0" w:color="auto"/>
            <w:bottom w:val="none" w:sz="0" w:space="0" w:color="auto"/>
            <w:right w:val="none" w:sz="0" w:space="0" w:color="auto"/>
          </w:divBdr>
          <w:divsChild>
            <w:div w:id="2139907366">
              <w:marLeft w:val="0"/>
              <w:marRight w:val="0"/>
              <w:marTop w:val="0"/>
              <w:marBottom w:val="0"/>
              <w:divBdr>
                <w:top w:val="none" w:sz="0" w:space="0" w:color="auto"/>
                <w:left w:val="none" w:sz="0" w:space="0" w:color="auto"/>
                <w:bottom w:val="none" w:sz="0" w:space="0" w:color="auto"/>
                <w:right w:val="none" w:sz="0" w:space="0" w:color="auto"/>
              </w:divBdr>
              <w:divsChild>
                <w:div w:id="1267153710">
                  <w:marLeft w:val="0"/>
                  <w:marRight w:val="0"/>
                  <w:marTop w:val="0"/>
                  <w:marBottom w:val="0"/>
                  <w:divBdr>
                    <w:top w:val="none" w:sz="0" w:space="0" w:color="auto"/>
                    <w:left w:val="none" w:sz="0" w:space="0" w:color="auto"/>
                    <w:bottom w:val="none" w:sz="0" w:space="0" w:color="auto"/>
                    <w:right w:val="none" w:sz="0" w:space="0" w:color="auto"/>
                  </w:divBdr>
                  <w:divsChild>
                    <w:div w:id="5990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010279">
      <w:bodyDiv w:val="1"/>
      <w:marLeft w:val="0"/>
      <w:marRight w:val="0"/>
      <w:marTop w:val="0"/>
      <w:marBottom w:val="0"/>
      <w:divBdr>
        <w:top w:val="none" w:sz="0" w:space="0" w:color="auto"/>
        <w:left w:val="none" w:sz="0" w:space="0" w:color="auto"/>
        <w:bottom w:val="none" w:sz="0" w:space="0" w:color="auto"/>
        <w:right w:val="none" w:sz="0" w:space="0" w:color="auto"/>
      </w:divBdr>
      <w:divsChild>
        <w:div w:id="1576011303">
          <w:marLeft w:val="0"/>
          <w:marRight w:val="0"/>
          <w:marTop w:val="0"/>
          <w:marBottom w:val="0"/>
          <w:divBdr>
            <w:top w:val="none" w:sz="0" w:space="0" w:color="auto"/>
            <w:left w:val="none" w:sz="0" w:space="0" w:color="auto"/>
            <w:bottom w:val="none" w:sz="0" w:space="0" w:color="auto"/>
            <w:right w:val="none" w:sz="0" w:space="0" w:color="auto"/>
          </w:divBdr>
          <w:divsChild>
            <w:div w:id="2009745892">
              <w:marLeft w:val="0"/>
              <w:marRight w:val="0"/>
              <w:marTop w:val="0"/>
              <w:marBottom w:val="0"/>
              <w:divBdr>
                <w:top w:val="none" w:sz="0" w:space="0" w:color="auto"/>
                <w:left w:val="none" w:sz="0" w:space="0" w:color="auto"/>
                <w:bottom w:val="none" w:sz="0" w:space="0" w:color="auto"/>
                <w:right w:val="none" w:sz="0" w:space="0" w:color="auto"/>
              </w:divBdr>
              <w:divsChild>
                <w:div w:id="212665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73868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2521141736644845"/>
          <c:y val="8.060084264517324E-2"/>
          <c:w val="0.74553365276000561"/>
          <c:h val="0.69110318436793616"/>
        </c:manualLayout>
      </c:layout>
      <c:barChart>
        <c:barDir val="col"/>
        <c:grouping val="clustered"/>
        <c:ser>
          <c:idx val="1"/>
          <c:order val="0"/>
          <c:tx>
            <c:strRef>
              <c:f>Sheet1!$D$4</c:f>
              <c:strCache>
                <c:ptCount val="1"/>
                <c:pt idx="0">
                  <c:v>Total Publication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Sheet1!$C$5:$C$26</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Sheet1!$D$5:$D$26</c:f>
              <c:numCache>
                <c:formatCode>General</c:formatCode>
                <c:ptCount val="22"/>
                <c:pt idx="0">
                  <c:v>2</c:v>
                </c:pt>
                <c:pt idx="1">
                  <c:v>3</c:v>
                </c:pt>
                <c:pt idx="2">
                  <c:v>3</c:v>
                </c:pt>
                <c:pt idx="3">
                  <c:v>3</c:v>
                </c:pt>
                <c:pt idx="4">
                  <c:v>3</c:v>
                </c:pt>
                <c:pt idx="5">
                  <c:v>4</c:v>
                </c:pt>
                <c:pt idx="6">
                  <c:v>9</c:v>
                </c:pt>
                <c:pt idx="7">
                  <c:v>5</c:v>
                </c:pt>
                <c:pt idx="8">
                  <c:v>12</c:v>
                </c:pt>
                <c:pt idx="9">
                  <c:v>23</c:v>
                </c:pt>
                <c:pt idx="10">
                  <c:v>27</c:v>
                </c:pt>
                <c:pt idx="11">
                  <c:v>48</c:v>
                </c:pt>
                <c:pt idx="12">
                  <c:v>62</c:v>
                </c:pt>
                <c:pt idx="13">
                  <c:v>54</c:v>
                </c:pt>
                <c:pt idx="14">
                  <c:v>84</c:v>
                </c:pt>
                <c:pt idx="15">
                  <c:v>98</c:v>
                </c:pt>
                <c:pt idx="16">
                  <c:v>177</c:v>
                </c:pt>
                <c:pt idx="17">
                  <c:v>174</c:v>
                </c:pt>
                <c:pt idx="18">
                  <c:v>227</c:v>
                </c:pt>
                <c:pt idx="19">
                  <c:v>258</c:v>
                </c:pt>
                <c:pt idx="20">
                  <c:v>297</c:v>
                </c:pt>
                <c:pt idx="21">
                  <c:v>302</c:v>
                </c:pt>
              </c:numCache>
            </c:numRef>
          </c:val>
          <c:extLst xmlns:c16r2="http://schemas.microsoft.com/office/drawing/2015/06/chart">
            <c:ext xmlns:c16="http://schemas.microsoft.com/office/drawing/2014/chart" uri="{C3380CC4-5D6E-409C-BE32-E72D297353CC}">
              <c16:uniqueId val="{00000000-1E77-4EF0-B8B9-EE788CE60E0F}"/>
            </c:ext>
          </c:extLst>
        </c:ser>
        <c:gapWidth val="219"/>
        <c:overlap val="-27"/>
        <c:axId val="51001216"/>
        <c:axId val="51516928"/>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Sheet1!$C$4</c15:sqref>
                        </c15:formulaRef>
                      </c:ext>
                    </c:extLst>
                    <c:strCache>
                      <c:ptCount val="1"/>
                      <c:pt idx="0">
                        <c:v>YEAR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xmlns:c16r2="http://schemas.microsoft.com/office/drawing/2015/06/chart">
                      <c:ext uri="{02D57815-91ED-43cb-92C2-25804820EDAC}">
                        <c15:formulaRef>
                          <c15:sqref>Sheet1!$C$5:$C$26</c15:sqref>
                        </c15:formulaRef>
                      </c:ext>
                    </c:extLst>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extLst xmlns:c16r2="http://schemas.microsoft.com/office/drawing/2015/06/chart">
                      <c:ext uri="{02D57815-91ED-43cb-92C2-25804820EDAC}">
                        <c15:formulaRef>
                          <c15:sqref>Sheet1!$C$5:$C$26</c15:sqref>
                        </c15:formulaRef>
                      </c:ext>
                    </c:extLst>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val>
                <c:extLst xmlns:c16r2="http://schemas.microsoft.com/office/drawing/2015/06/chart">
                  <c:ext xmlns:c16="http://schemas.microsoft.com/office/drawing/2014/chart" uri="{C3380CC4-5D6E-409C-BE32-E72D297353CC}">
                    <c16:uniqueId val="{00000002-1E77-4EF0-B8B9-EE788CE60E0F}"/>
                  </c:ext>
                </c:extLst>
              </c15:ser>
            </c15:filteredBarSeries>
            <c15:filteredBarSeries>
              <c15:ser>
                <c:idx val="2"/>
                <c:order val="2"/>
                <c:tx>
                  <c:strRef>
                    <c:extLst xmlns:c15="http://schemas.microsoft.com/office/drawing/2012/chart" xmlns:c16r2="http://schemas.microsoft.com/office/drawing/2015/06/chart">
                      <c:ext xmlns:c15="http://schemas.microsoft.com/office/drawing/2012/chart" uri="{02D57815-91ED-43cb-92C2-25804820EDAC}">
                        <c15:formulaRef>
                          <c15:sqref>Sheet1!$E$4</c15:sqref>
                        </c15:formulaRef>
                      </c:ext>
                    </c:extLst>
                    <c:strCache>
                      <c:ptCount val="1"/>
                      <c:pt idx="0">
                        <c:v> percentage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xmlns:c15="http://schemas.microsoft.com/office/drawing/2012/chart" xmlns:c16r2="http://schemas.microsoft.com/office/drawing/2015/06/chart">
                      <c:ext xmlns:c15="http://schemas.microsoft.com/office/drawing/2012/chart" uri="{02D57815-91ED-43cb-92C2-25804820EDAC}">
                        <c15:formulaRef>
                          <c15:sqref>Sheet1!$C$5:$C$26</c15:sqref>
                        </c15:formulaRef>
                      </c:ext>
                    </c:extLst>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Sheet1!$E$5:$E$26</c15:sqref>
                        </c15:formulaRef>
                      </c:ext>
                    </c:extLst>
                    <c:numCache>
                      <c:formatCode>0.00%</c:formatCode>
                      <c:ptCount val="22"/>
                      <c:pt idx="0">
                        <c:v>1.0666666666666667E-3</c:v>
                      </c:pt>
                      <c:pt idx="1">
                        <c:v>1.6000000000000001E-3</c:v>
                      </c:pt>
                      <c:pt idx="2">
                        <c:v>1.6000000000000001E-3</c:v>
                      </c:pt>
                      <c:pt idx="3">
                        <c:v>1.6000000000000001E-3</c:v>
                      </c:pt>
                      <c:pt idx="4">
                        <c:v>1.6000000000000001E-3</c:v>
                      </c:pt>
                      <c:pt idx="5">
                        <c:v>2.1333333333333334E-3</c:v>
                      </c:pt>
                      <c:pt idx="6">
                        <c:v>2.6666666666666666E-3</c:v>
                      </c:pt>
                      <c:pt idx="7">
                        <c:v>4.7999999999999996E-3</c:v>
                      </c:pt>
                      <c:pt idx="8">
                        <c:v>6.4000000000000003E-3</c:v>
                      </c:pt>
                      <c:pt idx="9">
                        <c:v>1.2266666666666667E-2</c:v>
                      </c:pt>
                      <c:pt idx="10">
                        <c:v>1.44E-2</c:v>
                      </c:pt>
                      <c:pt idx="11">
                        <c:v>2.5600000000000001E-2</c:v>
                      </c:pt>
                      <c:pt idx="12">
                        <c:v>2.8799999999999999E-2</c:v>
                      </c:pt>
                      <c:pt idx="13">
                        <c:v>3.3066666666666668E-2</c:v>
                      </c:pt>
                      <c:pt idx="14">
                        <c:v>4.48E-2</c:v>
                      </c:pt>
                      <c:pt idx="15">
                        <c:v>5.226666666666667E-2</c:v>
                      </c:pt>
                      <c:pt idx="16">
                        <c:v>9.2799999999999994E-2</c:v>
                      </c:pt>
                      <c:pt idx="17">
                        <c:v>9.4399999999999998E-2</c:v>
                      </c:pt>
                      <c:pt idx="18">
                        <c:v>0.12106666666666667</c:v>
                      </c:pt>
                      <c:pt idx="19">
                        <c:v>0.1376</c:v>
                      </c:pt>
                      <c:pt idx="20">
                        <c:v>0.15840000000000001</c:v>
                      </c:pt>
                      <c:pt idx="21">
                        <c:v>0.16106666666666666</c:v>
                      </c:pt>
                    </c:numCache>
                  </c:numRef>
                </c:val>
                <c:extLst xmlns:c15="http://schemas.microsoft.com/office/drawing/2012/chart" xmlns:c16r2="http://schemas.microsoft.com/office/drawing/2015/06/chart">
                  <c:ext xmlns:c16="http://schemas.microsoft.com/office/drawing/2014/chart" uri="{C3380CC4-5D6E-409C-BE32-E72D297353CC}">
                    <c16:uniqueId val="{00000003-1E77-4EF0-B8B9-EE788CE60E0F}"/>
                  </c:ext>
                </c:extLst>
              </c15:ser>
            </c15:filteredBarSeries>
          </c:ext>
        </c:extLst>
      </c:barChart>
      <c:lineChart>
        <c:grouping val="standard"/>
        <c:ser>
          <c:idx val="3"/>
          <c:order val="1"/>
          <c:tx>
            <c:strRef>
              <c:f>Sheet1!$F$4</c:f>
              <c:strCache>
                <c:ptCount val="1"/>
                <c:pt idx="0">
                  <c:v>Cumulative Percentage</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cat>
            <c:numRef>
              <c:f>Sheet1!$C$5:$C$26</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Sheet1!$F$5:$F$26</c:f>
              <c:numCache>
                <c:formatCode>0.00%</c:formatCode>
                <c:ptCount val="22"/>
                <c:pt idx="0">
                  <c:v>1.0666666666666708E-3</c:v>
                </c:pt>
                <c:pt idx="1">
                  <c:v>2.6666666666666687E-3</c:v>
                </c:pt>
                <c:pt idx="2">
                  <c:v>4.2666666666666721E-3</c:v>
                </c:pt>
                <c:pt idx="3">
                  <c:v>5.8666666666666719E-3</c:v>
                </c:pt>
                <c:pt idx="4">
                  <c:v>7.4666666666666744E-3</c:v>
                </c:pt>
                <c:pt idx="5">
                  <c:v>9.6000000000000026E-3</c:v>
                </c:pt>
                <c:pt idx="6">
                  <c:v>1.2266666666666669E-2</c:v>
                </c:pt>
                <c:pt idx="7">
                  <c:v>1.7066666666666671E-2</c:v>
                </c:pt>
                <c:pt idx="8">
                  <c:v>2.346666666666667E-2</c:v>
                </c:pt>
                <c:pt idx="9">
                  <c:v>3.573333333333336E-2</c:v>
                </c:pt>
                <c:pt idx="10">
                  <c:v>5.0133333333333384E-2</c:v>
                </c:pt>
                <c:pt idx="11">
                  <c:v>7.5733333333333444E-2</c:v>
                </c:pt>
                <c:pt idx="12">
                  <c:v>0.10453333333333339</c:v>
                </c:pt>
                <c:pt idx="13">
                  <c:v>0.13759999999999994</c:v>
                </c:pt>
                <c:pt idx="14">
                  <c:v>0.18240000000000006</c:v>
                </c:pt>
                <c:pt idx="15">
                  <c:v>0.23466666666666661</c:v>
                </c:pt>
                <c:pt idx="16">
                  <c:v>0.32746666666666718</c:v>
                </c:pt>
                <c:pt idx="17">
                  <c:v>0.42186666666666711</c:v>
                </c:pt>
                <c:pt idx="18">
                  <c:v>0.5429333333333336</c:v>
                </c:pt>
                <c:pt idx="19">
                  <c:v>0.68053333333333343</c:v>
                </c:pt>
                <c:pt idx="20">
                  <c:v>0.83893333333333364</c:v>
                </c:pt>
                <c:pt idx="21">
                  <c:v>1.0000000000000002</c:v>
                </c:pt>
              </c:numCache>
            </c:numRef>
          </c:val>
          <c:extLst xmlns:c16r2="http://schemas.microsoft.com/office/drawing/2015/06/chart">
            <c:ext xmlns:c16="http://schemas.microsoft.com/office/drawing/2014/chart" uri="{C3380CC4-5D6E-409C-BE32-E72D297353CC}">
              <c16:uniqueId val="{00000001-1E77-4EF0-B8B9-EE788CE60E0F}"/>
            </c:ext>
          </c:extLst>
        </c:ser>
        <c:marker val="1"/>
        <c:axId val="57715712"/>
        <c:axId val="51518848"/>
      </c:lineChart>
      <c:catAx>
        <c:axId val="51001216"/>
        <c:scaling>
          <c:orientation val="minMax"/>
        </c:scaling>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MY"/>
                  <a:t>Years</a:t>
                </a:r>
              </a:p>
            </c:rich>
          </c:tx>
          <c:spPr>
            <a:noFill/>
            <a:ln>
              <a:noFill/>
            </a:ln>
            <a:effectLst/>
          </c:spPr>
        </c:title>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16928"/>
        <c:crosses val="autoZero"/>
        <c:auto val="1"/>
        <c:lblAlgn val="ctr"/>
        <c:lblOffset val="100"/>
      </c:catAx>
      <c:valAx>
        <c:axId val="5151692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MY"/>
                  <a:t>Total Publilcation</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01216"/>
        <c:crossesAt val="1"/>
        <c:crossBetween val="between"/>
      </c:valAx>
      <c:valAx>
        <c:axId val="51518848"/>
        <c:scaling>
          <c:orientation val="minMax"/>
          <c:max val="1"/>
        </c:scaling>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MY"/>
                  <a:t>Cumulative percentage</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15712"/>
        <c:crosses val="max"/>
        <c:crossBetween val="between"/>
      </c:valAx>
      <c:catAx>
        <c:axId val="57715712"/>
        <c:scaling>
          <c:orientation val="minMax"/>
        </c:scaling>
        <c:delete val="1"/>
        <c:axPos val="b"/>
        <c:numFmt formatCode="General" sourceLinked="1"/>
        <c:majorTickMark val="none"/>
        <c:tickLblPos val="nextTo"/>
        <c:crossAx val="51518848"/>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A33AF-2979-42CA-A54A-C49C418F5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31952</Words>
  <Characters>182128</Characters>
  <Application>Microsoft Office Word</Application>
  <DocSecurity>0</DocSecurity>
  <Lines>1517</Lines>
  <Paragraphs>427</Paragraphs>
  <ScaleCrop>false</ScaleCrop>
  <HeadingPairs>
    <vt:vector size="2" baseType="variant">
      <vt:variant>
        <vt:lpstr>Title</vt:lpstr>
      </vt:variant>
      <vt:variant>
        <vt:i4>1</vt:i4>
      </vt:variant>
    </vt:vector>
  </HeadingPairs>
  <TitlesOfParts>
    <vt:vector size="1" baseType="lpstr">
      <vt:lpstr>Bibliometric Analysis</vt:lpstr>
    </vt:vector>
  </TitlesOfParts>
  <Manager/>
  <Company>Universiti Utara Malaysia</Company>
  <LinksUpToDate>false</LinksUpToDate>
  <CharactersWithSpaces>213653</CharactersWithSpaces>
  <SharedDoc>false</SharedDoc>
  <HyperlinkBase>www.aidi-ahmi.com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Bibliometric Analysis</dc:title>
  <dc:subject>Bibliometric Analysis</dc:subject>
  <dc:creator>Aidi Ahmi</dc:creator>
  <cp:keywords/>
  <dc:description/>
  <cp:lastModifiedBy>Sudheer Kantu</cp:lastModifiedBy>
  <cp:revision>21</cp:revision>
  <cp:lastPrinted>2022-03-29T07:33:00Z</cp:lastPrinted>
  <dcterms:created xsi:type="dcterms:W3CDTF">2022-03-29T09:00:00Z</dcterms:created>
  <dcterms:modified xsi:type="dcterms:W3CDTF">2022-04-05T11:47:00Z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http://csl.mendeley.com/styles/445542521/harvard-cite-them-right-wza-2</vt:lpwstr>
  </property>
  <property fmtid="{D5CDD505-2E9C-101B-9397-08002B2CF9AE}" pid="13" name="Mendeley Recent Style Name 5_1">
    <vt:lpwstr>Cite Them Right 9th edition - Harvard - WAN ZUKI AZMAN  ver 2.0</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2fbecd6d-910e-34de-a72a-7e5bb4a1fc5f</vt:lpwstr>
  </property>
  <property fmtid="{D5CDD505-2E9C-101B-9397-08002B2CF9AE}" pid="24" name="Mendeley Citation Style_1">
    <vt:lpwstr>http://www.zotero.org/styles/apa</vt:lpwstr>
  </property>
</Properties>
</file>